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rFonts w:ascii="Verdana" w:hAnsi="Verdana" w:cs="Arial"/>
          <w:b/>
          <w:sz w:val="20"/>
          <w:u w:val="single"/>
        </w:rPr>
      </w:pPr>
      <w:r>
        <w:rPr>
          <w:rFonts w:cs="Arial" w:ascii="Verdana" w:hAnsi="Verdana"/>
          <w:b/>
          <w:sz w:val="20"/>
          <w:u w:val="single"/>
        </w:rPr>
      </w:r>
    </w:p>
    <w:p>
      <w:pPr>
        <w:pStyle w:val="Normal"/>
        <w:spacing w:lineRule="auto" w:line="276"/>
        <w:jc w:val="center"/>
        <w:rPr>
          <w:rFonts w:ascii="Verdana" w:hAnsi="Verdana" w:cs="Arial"/>
          <w:b/>
          <w:sz w:val="20"/>
          <w:u w:val="single"/>
        </w:rPr>
      </w:pPr>
      <w:r>
        <w:rPr>
          <w:rFonts w:cs="Arial" w:ascii="Verdana" w:hAnsi="Verdana"/>
          <w:b/>
          <w:sz w:val="20"/>
          <w:u w:val="single"/>
        </w:rPr>
        <w:t>ANEXO II</w:t>
      </w:r>
    </w:p>
    <w:p>
      <w:pPr>
        <w:pStyle w:val="Normal"/>
        <w:spacing w:lineRule="auto" w:line="276"/>
        <w:jc w:val="center"/>
        <w:rPr>
          <w:rFonts w:ascii="Verdana" w:hAnsi="Verdana" w:cs="Arial"/>
          <w:b/>
          <w:sz w:val="20"/>
          <w:u w:val="single"/>
        </w:rPr>
      </w:pPr>
      <w:r>
        <w:rPr>
          <w:rFonts w:cs="Arial" w:ascii="Verdana" w:hAnsi="Verdana"/>
          <w:b/>
          <w:bCs/>
          <w:color w:val="000000"/>
          <w:sz w:val="20"/>
          <w:u w:val="single"/>
        </w:rPr>
        <w:t>TERMO DE REFERÊNCIA – LEI 14.133/21 de 01 de abril de 2021</w:t>
      </w:r>
    </w:p>
    <w:p>
      <w:pPr>
        <w:pStyle w:val="Normal"/>
        <w:spacing w:lineRule="auto" w:line="276"/>
        <w:jc w:val="center"/>
        <w:rPr>
          <w:rFonts w:ascii="Verdana" w:hAnsi="Verdana" w:cs="Arial"/>
          <w:b/>
          <w:sz w:val="20"/>
          <w:u w:val="single"/>
        </w:rPr>
      </w:pPr>
      <w:r>
        <w:rPr>
          <w:rFonts w:cs="Arial" w:ascii="Verdana" w:hAnsi="Verdana"/>
          <w:b/>
          <w:sz w:val="20"/>
          <w:u w:val="single"/>
        </w:rPr>
      </w:r>
    </w:p>
    <w:p>
      <w:pPr>
        <w:pStyle w:val="Normal"/>
        <w:spacing w:lineRule="auto" w:line="276"/>
        <w:jc w:val="center"/>
        <w:rPr>
          <w:rFonts w:ascii="Verdana" w:hAnsi="Verdana" w:cs="Arial"/>
          <w:b/>
          <w:sz w:val="20"/>
          <w:u w:val="single"/>
        </w:rPr>
      </w:pPr>
      <w:r>
        <w:rPr>
          <w:rFonts w:cs="Arial" w:ascii="Verdana" w:hAnsi="Verdana"/>
          <w:b/>
          <w:sz w:val="20"/>
          <w:u w:val="single"/>
        </w:rPr>
      </w:r>
    </w:p>
    <w:p>
      <w:pPr>
        <w:pStyle w:val="Normal"/>
        <w:spacing w:lineRule="auto" w:line="276"/>
        <w:jc w:val="center"/>
        <w:rPr>
          <w:rFonts w:ascii="Verdana" w:hAnsi="Verdana" w:cs="Arial"/>
          <w:b/>
          <w:sz w:val="20"/>
          <w:u w:val="single"/>
        </w:rPr>
      </w:pPr>
      <w:r>
        <w:rPr>
          <w:rFonts w:ascii="Verdana" w:hAnsi="Verdana"/>
          <w:b/>
          <w:bCs/>
          <w:iCs/>
          <w:color w:val="000000"/>
          <w:sz w:val="20"/>
        </w:rPr>
        <w:t xml:space="preserve"> </w:t>
      </w:r>
      <w:r>
        <w:rPr>
          <w:rFonts w:ascii="Verdana" w:hAnsi="Verdana"/>
          <w:b/>
          <w:bCs/>
          <w:iCs/>
          <w:color w:val="000000"/>
          <w:sz w:val="20"/>
        </w:rPr>
        <w:t>CONTRATAÇÃO DE EMPRESA - INSPEÇÃO TÉCNICA DE SEGURANÇA VEICULAR</w:t>
      </w:r>
      <w:r>
        <w:rPr>
          <w:rFonts w:cs="Arial" w:ascii="Verdana" w:hAnsi="Verdana"/>
          <w:b/>
          <w:bCs/>
          <w:iCs/>
          <w:color w:val="000000"/>
          <w:sz w:val="20"/>
        </w:rPr>
        <w:t xml:space="preserve"> </w:t>
      </w:r>
    </w:p>
    <w:p>
      <w:pPr>
        <w:pStyle w:val="Normal"/>
        <w:spacing w:lineRule="auto" w:line="276"/>
        <w:jc w:val="center"/>
        <w:rPr>
          <w:rFonts w:ascii="Verdana" w:hAnsi="Verdana" w:cs="Arial"/>
          <w:b/>
          <w:sz w:val="20"/>
          <w:u w:val="single"/>
        </w:rPr>
      </w:pPr>
      <w:r>
        <w:rPr>
          <w:rFonts w:cs="Arial" w:ascii="Verdana" w:hAnsi="Verdana"/>
          <w:b/>
          <w:sz w:val="20"/>
          <w:u w:val="single"/>
        </w:rPr>
      </w:r>
    </w:p>
    <w:p>
      <w:pPr>
        <w:pStyle w:val="Normal"/>
        <w:spacing w:lineRule="auto" w:line="276"/>
        <w:jc w:val="center"/>
        <w:rPr>
          <w:rFonts w:ascii="Verdana" w:hAnsi="Verdana" w:cs="Arial"/>
          <w:b/>
          <w:sz w:val="20"/>
          <w:u w:val="single"/>
        </w:rPr>
      </w:pPr>
      <w:r>
        <w:rPr>
          <w:rFonts w:cs="Arial" w:ascii="Verdana" w:hAnsi="Verdana"/>
          <w:b/>
          <w:bCs/>
          <w:iCs/>
          <w:color w:val="000000"/>
          <w:sz w:val="20"/>
        </w:rPr>
        <w:t xml:space="preserve">Processo Administrativo nº </w:t>
      </w:r>
      <w:r>
        <w:rPr>
          <w:rFonts w:ascii="Verdana" w:hAnsi="Verdana"/>
          <w:b/>
          <w:bCs/>
          <w:iCs/>
          <w:color w:val="000000"/>
          <w:sz w:val="20"/>
        </w:rPr>
        <w:t>000340</w:t>
      </w:r>
      <w:r>
        <w:rPr>
          <w:rFonts w:cs="Arial" w:ascii="Verdana" w:hAnsi="Verdana"/>
          <w:b/>
          <w:bCs/>
          <w:iCs/>
          <w:color w:val="000000"/>
          <w:sz w:val="20"/>
        </w:rPr>
        <w:t>/2024 de 17 de janeiro de 2024 (Secretaria Municipal de Educação)</w:t>
      </w:r>
    </w:p>
    <w:p>
      <w:pPr>
        <w:pStyle w:val="Normal"/>
        <w:spacing w:lineRule="auto" w:line="276"/>
        <w:jc w:val="center"/>
        <w:rPr>
          <w:rFonts w:ascii="Verdana" w:hAnsi="Verdana" w:cs="Arial"/>
          <w:b/>
          <w:sz w:val="20"/>
          <w:u w:val="single"/>
        </w:rPr>
      </w:pPr>
      <w:r>
        <w:rPr>
          <w:rFonts w:cs="Arial" w:ascii="Verdana" w:hAnsi="Verdana"/>
          <w:b/>
          <w:sz w:val="20"/>
          <w:u w:val="single"/>
        </w:rPr>
      </w:r>
    </w:p>
    <w:p>
      <w:pPr>
        <w:pStyle w:val="Normal"/>
        <w:spacing w:lineRule="auto" w:line="276"/>
        <w:jc w:val="center"/>
        <w:rPr>
          <w:rFonts w:ascii="Verdana" w:hAnsi="Verdana" w:cs="Arial"/>
          <w:b/>
          <w:sz w:val="20"/>
          <w:u w:val="single"/>
        </w:rPr>
      </w:pPr>
      <w:r>
        <w:rPr>
          <w:rFonts w:cs="Arial" w:ascii="Verdana" w:hAnsi="Verdana"/>
          <w:b/>
          <w:sz w:val="20"/>
          <w:u w:val="single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bCs/>
          <w:sz w:val="20"/>
        </w:rPr>
        <w:t xml:space="preserve">1. DAS CONDIÇÕES GERAIS DA CONTRATAÇÃO </w:t>
      </w:r>
    </w:p>
    <w:p>
      <w:pPr>
        <w:pStyle w:val="Normal"/>
        <w:tabs>
          <w:tab w:val="clear" w:pos="708"/>
          <w:tab w:val="left" w:pos="567" w:leader="none"/>
        </w:tabs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1.1. Contratação de empresa especializada em prestação de serviços de inspeção técnica de segurança veicular, para renovação dos termos de autorização emitidos pelo DETRAN/ES e vistoria mecânica com emissão de laudo a CETURB/ES, necessários aos veículos da Secretaria Municipal de Educação, conforme condições e exigências estabelecidas neste instrumento e no ETP elaborado pela requente.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</w:r>
    </w:p>
    <w:tbl>
      <w:tblPr>
        <w:tblW w:w="9355" w:type="dxa"/>
        <w:jc w:val="left"/>
        <w:tblInd w:w="8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3281"/>
        <w:gridCol w:w="882"/>
        <w:gridCol w:w="1134"/>
        <w:gridCol w:w="1557"/>
        <w:gridCol w:w="1649"/>
      </w:tblGrid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 xml:space="preserve">LOTE  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ESPECIFICAÇÃO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UND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QUANT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VLR UNIT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VLR TOTAL</w:t>
            </w:r>
          </w:p>
        </w:tc>
      </w:tr>
      <w:tr>
        <w:trPr/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01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Contratação de empresa para a prestação de serviços de inspeção técnica de segurança veicular, para renovação dos termos de autorização escolar emitidos pelo Detran/ES. Para os veículos tipo ônibus da secretaria municipal de educação.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Serv.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240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R$ 300,00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color w:val="000000"/>
                <w:sz w:val="20"/>
              </w:rPr>
              <w:t>R$ 72.000,00</w:t>
            </w:r>
          </w:p>
        </w:tc>
      </w:tr>
      <w:tr>
        <w:trPr/>
        <w:tc>
          <w:tcPr>
            <w:tcW w:w="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Contratação de empresa para a prestação de serviços de vistoria mecânica com emissão de laudo a Ceturb/ES, para fins de obtenção de certificado de vistoria de veículo, para o ônibus placa mtr-1017, incluindo a taxa de ART (anotação de responsabilidade técnica) para vistoria mecânica, taxa de emissão de certificados e serviço de montagem de processo para obtenção do certificado na</w:t>
            </w:r>
          </w:p>
          <w:p>
            <w:pPr>
              <w:pStyle w:val="Normal"/>
              <w:widowControl w:val="false"/>
              <w:spacing w:lineRule="auto" w:line="276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Ceturb/ES.</w:t>
            </w:r>
          </w:p>
        </w:tc>
        <w:tc>
          <w:tcPr>
            <w:tcW w:w="8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Serv.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06</w:t>
            </w:r>
          </w:p>
        </w:tc>
        <w:tc>
          <w:tcPr>
            <w:tcW w:w="1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R$ 630,00</w:t>
            </w:r>
          </w:p>
        </w:tc>
        <w:tc>
          <w:tcPr>
            <w:tcW w:w="1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R$ 3.780,00</w:t>
            </w:r>
          </w:p>
        </w:tc>
      </w:tr>
      <w:tr>
        <w:trPr>
          <w:trHeight w:val="408" w:hRule="atLeast"/>
        </w:trPr>
        <w:tc>
          <w:tcPr>
            <w:tcW w:w="935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VALOR TOTAL: R$ 75.780,00</w:t>
            </w:r>
          </w:p>
        </w:tc>
      </w:tr>
    </w:tbl>
    <w:p>
      <w:pPr>
        <w:pStyle w:val="Normal"/>
        <w:widowControl w:val="false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1.2. O prazo de vigência da contratação será de 60 (sessenta) meses contados do(a) </w:t>
      </w:r>
      <w:r>
        <w:rPr>
          <w:rFonts w:cs="Arial" w:ascii="Verdana" w:hAnsi="Verdana"/>
          <w:bCs/>
          <w:iCs/>
          <w:color w:val="000000"/>
          <w:sz w:val="20"/>
        </w:rPr>
        <w:t>a partir da assinatura do Contrato.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ind w:lef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iCs/>
          <w:color w:val="000000"/>
          <w:sz w:val="20"/>
          <w:szCs w:val="20"/>
        </w:rPr>
        <w:t>1.3.</w:t>
      </w:r>
      <w:r>
        <w:rPr>
          <w:rFonts w:eastAsia="Times New Roman" w:cs="Times New Roman" w:ascii="Verdana" w:hAnsi="Verdana"/>
          <w:b/>
          <w:bCs/>
          <w:iCs/>
          <w:color w:val="000000"/>
          <w:sz w:val="20"/>
          <w:szCs w:val="20"/>
        </w:rPr>
        <w:t xml:space="preserve"> </w:t>
      </w:r>
      <w:r>
        <w:rPr>
          <w:rFonts w:eastAsia="Times New Roman" w:cs="Times New Roman" w:ascii="Verdana" w:hAnsi="Verdana"/>
          <w:iCs/>
          <w:color w:val="000000"/>
          <w:sz w:val="20"/>
          <w:szCs w:val="20"/>
        </w:rPr>
        <w:t>O custo estimado total da contratação é de</w:t>
      </w:r>
      <w:r>
        <w:rPr>
          <w:rFonts w:eastAsia="Times New Roman" w:cs="Times New Roman" w:ascii="Verdana" w:hAnsi="Verdana"/>
          <w:i/>
          <w:iCs/>
          <w:color w:val="FF0000"/>
          <w:sz w:val="20"/>
          <w:szCs w:val="20"/>
        </w:rPr>
        <w:t xml:space="preserve"> </w:t>
      </w:r>
      <w:r>
        <w:rPr>
          <w:rFonts w:eastAsia="Times New Roman" w:cs="Times New Roman" w:ascii="Verdana" w:hAnsi="Verdana"/>
          <w:b/>
          <w:bCs/>
          <w:color w:val="000000"/>
          <w:sz w:val="20"/>
          <w:szCs w:val="20"/>
        </w:rPr>
        <w:t>R$ 75.780,00 (setenta e cinco mil setecentos e oitenta reais)</w:t>
      </w:r>
      <w:r>
        <w:rPr>
          <w:rFonts w:eastAsia="Times New Roman" w:cs="Times New Roman" w:ascii="Verdana" w:hAnsi="Verdana"/>
          <w:color w:val="000000"/>
          <w:sz w:val="20"/>
          <w:szCs w:val="20"/>
        </w:rPr>
        <w:t>,</w:t>
      </w:r>
      <w:r>
        <w:rPr>
          <w:rFonts w:eastAsia="Times New Roman" w:cs="Times New Roman" w:ascii="Verdana" w:hAnsi="Verdana"/>
          <w:i/>
          <w:iCs/>
          <w:color w:val="000000"/>
          <w:sz w:val="20"/>
          <w:szCs w:val="20"/>
        </w:rPr>
        <w:t xml:space="preserve"> </w:t>
      </w:r>
      <w:r>
        <w:rPr>
          <w:rFonts w:eastAsia="Times New Roman" w:cs="Times New Roman" w:ascii="Verdana" w:hAnsi="Verdana"/>
          <w:iCs/>
          <w:color w:val="000000"/>
          <w:sz w:val="20"/>
          <w:szCs w:val="20"/>
        </w:rPr>
        <w:t>conforme custos unitários</w:t>
      </w:r>
      <w:r>
        <w:rPr>
          <w:rFonts w:eastAsia="Times New Roman" w:cs="Times New Roman" w:ascii="Verdana" w:hAnsi="Verdana"/>
          <w:bCs/>
          <w:iCs/>
          <w:color w:val="000000"/>
          <w:sz w:val="20"/>
          <w:szCs w:val="20"/>
        </w:rPr>
        <w:t xml:space="preserve"> apostos nos orçamentos e no quadro comparativo de preços simples em anexo.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bCs/>
          <w:sz w:val="20"/>
        </w:rPr>
        <w:t xml:space="preserve">2. DESCRIÇÃO DA NECESSIDADE DA CONTRATAÇÃO 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2.1. Considerando a Instrução de Serviço DETRAN/ES Nº 11, de 13 de fevereiro de 2014, onde estabelece normas para o credenciamento de pessoas físicas ou jurídicas para a realização dos serviços de transporte de escolares no âmbito do Estado do Espírito Santo.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2.2. Esta municipalidade possui veículos que prestam serviços de transporte de escolares, estão credenciados pelo Departamento Estadual de Trânsito do Espírito Santo – DETRAN/ES.</w:t>
      </w:r>
    </w:p>
    <w:p>
      <w:pPr>
        <w:pStyle w:val="Normal"/>
        <w:tabs>
          <w:tab w:val="clear" w:pos="708"/>
          <w:tab w:val="left" w:pos="1418" w:leader="none"/>
        </w:tabs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2.3. A secretaria requisitante possui a necessidade de renovação dos Termos de Autorização dos veículos que prestam serviços de transporte de escolares que é emitido pelo Departamento Estadual de Trânsito – DETRAN/ES.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2.4. Para a Renovação dos Termos de Autorização é obrigatória a vistoria semestral nos veículos, vez que a mesma é realizada por uma das ITL’s (Instituição Técnica Licenciada) ou ETP’s (Entidades Técnicas Paraestatais) credenciadas na forma da Resolução Nº 232 do CONTRAN.</w:t>
      </w:r>
    </w:p>
    <w:p>
      <w:pPr>
        <w:pStyle w:val="Normal"/>
        <w:tabs>
          <w:tab w:val="clear" w:pos="708"/>
          <w:tab w:val="left" w:pos="1418" w:leader="none"/>
        </w:tabs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2.5. Os veículos que prestam serviços de transporte de escolares, tem que estar em dia com a documentação, evitando assim sérios prejuízos a este município.</w:t>
      </w:r>
    </w:p>
    <w:p>
      <w:pPr>
        <w:pStyle w:val="Normal"/>
        <w:tabs>
          <w:tab w:val="clear" w:pos="708"/>
          <w:tab w:val="left" w:pos="1418" w:leader="none"/>
        </w:tabs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2.6.  À necessidade de Vistoria Mecânica com emissão de laudo a Companhia Estadual de Transportes Coletivos de Passageiros do Estado do Espírito Santo – CETURB/ES, para fins de obtenção de Certificado de Vistoria de Veículo, para o ônibus Placa MTR-1017.</w:t>
      </w:r>
    </w:p>
    <w:p>
      <w:pPr>
        <w:pStyle w:val="Normal"/>
        <w:tabs>
          <w:tab w:val="clear" w:pos="708"/>
          <w:tab w:val="left" w:pos="1418" w:leader="none"/>
        </w:tabs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2.7.</w:t>
      </w:r>
      <w:r>
        <w:rPr>
          <w:rFonts w:ascii="Verdana" w:hAnsi="Verdana"/>
          <w:b/>
          <w:bCs/>
          <w:sz w:val="20"/>
        </w:rPr>
        <w:t xml:space="preserve"> </w:t>
      </w:r>
      <w:r>
        <w:rPr>
          <w:rFonts w:ascii="Verdana" w:hAnsi="Verdana"/>
          <w:sz w:val="20"/>
        </w:rPr>
        <w:t>O referido ônibus, deve estar legalizado para a realização de viagens, vez que as Escolas da Educação Básica promovem viagens pedagógicas intermunicipais e até interestaduais em atividades extraclasses, e, que a não legalização acarretaria sérios prejuízos para este município.</w:t>
      </w:r>
    </w:p>
    <w:p>
      <w:pPr>
        <w:pStyle w:val="Normal"/>
        <w:tabs>
          <w:tab w:val="clear" w:pos="708"/>
          <w:tab w:val="left" w:pos="1418" w:leader="none"/>
        </w:tabs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</w:r>
    </w:p>
    <w:p>
      <w:pPr>
        <w:pStyle w:val="Normal"/>
        <w:tabs>
          <w:tab w:val="clear" w:pos="708"/>
          <w:tab w:val="left" w:pos="335" w:leader="none"/>
        </w:tabs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bCs/>
          <w:sz w:val="20"/>
        </w:rPr>
        <w:t>3. DESCRIÇÃO DA SOLUÇÃO</w:t>
      </w:r>
    </w:p>
    <w:p>
      <w:pPr>
        <w:pStyle w:val="Normal"/>
        <w:tabs>
          <w:tab w:val="clear" w:pos="708"/>
          <w:tab w:val="left" w:pos="335" w:leader="none"/>
        </w:tabs>
        <w:spacing w:lineRule="auto" w:line="276"/>
        <w:jc w:val="both"/>
        <w:rPr>
          <w:rFonts w:ascii="Verdana" w:hAnsi="Verdana"/>
          <w:sz w:val="20"/>
        </w:rPr>
      </w:pPr>
      <w:r>
        <w:rPr>
          <w:rFonts w:cs="Arial" w:ascii="Verdana" w:hAnsi="Verdana"/>
          <w:sz w:val="20"/>
        </w:rPr>
        <w:t xml:space="preserve">3.1. A solução a ser adotada consiste na </w:t>
      </w:r>
      <w:r>
        <w:rPr>
          <w:rFonts w:eastAsia="Arial" w:cs="Arial" w:ascii="Verdana" w:hAnsi="Verdana"/>
          <w:sz w:val="20"/>
        </w:rPr>
        <w:t xml:space="preserve">Contratação de empresa especializada em prestação de serviços de </w:t>
      </w:r>
      <w:r>
        <w:rPr>
          <w:rFonts w:eastAsia="Arial" w:ascii="Verdana" w:hAnsi="Verdana"/>
          <w:sz w:val="20"/>
        </w:rPr>
        <w:t>Inspeção Técnica de Segurança Veicular, para renovação dos Termos de Autorização emitidos pelo DETRAN/ES e vistoria mecânica com emissão de laudo a Ceturb/ES, necessários aos veículos da Secretaria de Educação.</w:t>
      </w:r>
    </w:p>
    <w:p>
      <w:pPr>
        <w:pStyle w:val="Normal"/>
        <w:spacing w:lineRule="auto" w:line="276"/>
        <w:jc w:val="both"/>
        <w:rPr>
          <w:rFonts w:ascii="Verdana" w:hAnsi="Verdana" w:cs="Arial"/>
          <w:sz w:val="20"/>
        </w:rPr>
      </w:pPr>
      <w:r>
        <w:rPr>
          <w:rFonts w:cs="Arial" w:ascii="Verdana" w:hAnsi="Verdana"/>
          <w:sz w:val="20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cs="Arial" w:ascii="Verdana" w:hAnsi="Verdana"/>
          <w:b/>
          <w:sz w:val="20"/>
        </w:rPr>
        <w:t>3.2 Definição e justificativa de caracterização do objeto e prazos da contratação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cs="Arial" w:ascii="Verdana" w:hAnsi="Verdana"/>
          <w:sz w:val="20"/>
        </w:rPr>
        <w:t xml:space="preserve">3.2.1 A demanda a ser </w:t>
      </w:r>
      <w:r>
        <w:rPr>
          <w:rFonts w:eastAsia="Arial" w:cs="Arial" w:ascii="Verdana" w:hAnsi="Verdana"/>
          <w:sz w:val="20"/>
        </w:rPr>
        <w:t>Contrata</w:t>
      </w:r>
      <w:r>
        <w:rPr>
          <w:rFonts w:eastAsia="Arial" w:cs="Arial" w:ascii="Verdana" w:hAnsi="Verdana"/>
          <w:color w:val="000000"/>
          <w:sz w:val="20"/>
          <w:lang w:eastAsia="zh-CN"/>
        </w:rPr>
        <w:t xml:space="preserve">da de empresa especializada em prestação de serviços de </w:t>
      </w:r>
      <w:r>
        <w:rPr>
          <w:rFonts w:eastAsia="Arial" w:ascii="Verdana" w:hAnsi="Verdana"/>
          <w:color w:val="000000"/>
          <w:sz w:val="20"/>
          <w:lang w:eastAsia="zh-CN"/>
        </w:rPr>
        <w:t>Inspeção Técnica de Segurança Veicular, para renovação dos Termos de Autorização emitidos pelo DETRAN/ES e vistoria mecânica com emissão de laudo a Ceturb/ES, necessários aos veículos da Secretaria Municipal de Educação,</w:t>
      </w:r>
      <w:r>
        <w:rPr>
          <w:rFonts w:cs="Arial" w:ascii="Verdana" w:hAnsi="Verdana"/>
          <w:bCs/>
          <w:sz w:val="20"/>
        </w:rPr>
        <w:t xml:space="preserve"> por </w:t>
      </w:r>
      <w:r>
        <w:rPr>
          <w:rFonts w:cs="Arial" w:ascii="Verdana" w:hAnsi="Verdana"/>
          <w:b/>
          <w:bCs/>
          <w:sz w:val="20"/>
        </w:rPr>
        <w:t xml:space="preserve">um período de </w:t>
      </w:r>
      <w:r>
        <w:rPr>
          <w:rFonts w:cs="Arial" w:ascii="Verdana" w:hAnsi="Verdana"/>
          <w:b/>
          <w:bCs/>
          <w:color w:val="000000"/>
          <w:sz w:val="20"/>
          <w:lang w:eastAsia="zh-CN"/>
        </w:rPr>
        <w:t>60</w:t>
      </w:r>
      <w:r>
        <w:rPr>
          <w:rFonts w:cs="Arial" w:ascii="Verdana" w:hAnsi="Verdana"/>
          <w:b/>
          <w:bCs/>
          <w:sz w:val="20"/>
        </w:rPr>
        <w:t xml:space="preserve"> (</w:t>
      </w:r>
      <w:r>
        <w:rPr>
          <w:rFonts w:cs="Arial" w:ascii="Verdana" w:hAnsi="Verdana"/>
          <w:b/>
          <w:bCs/>
          <w:color w:val="000000"/>
          <w:sz w:val="20"/>
          <w:lang w:eastAsia="zh-CN"/>
        </w:rPr>
        <w:t>sessenta</w:t>
      </w:r>
      <w:r>
        <w:rPr>
          <w:rFonts w:cs="Arial" w:ascii="Verdana" w:hAnsi="Verdana"/>
          <w:b/>
          <w:bCs/>
          <w:sz w:val="20"/>
        </w:rPr>
        <w:t>) meses</w:t>
      </w:r>
      <w:r>
        <w:rPr>
          <w:rFonts w:cs="Arial" w:ascii="Verdana" w:hAnsi="Verdana"/>
          <w:bCs/>
          <w:sz w:val="20"/>
        </w:rPr>
        <w:t xml:space="preserve">, conforme quantidades e especificações constantes definidas no </w:t>
      </w:r>
      <w:r>
        <w:rPr>
          <w:rFonts w:cs="Arial" w:ascii="Verdana" w:hAnsi="Verdana"/>
          <w:bCs/>
          <w:color w:val="000000"/>
          <w:sz w:val="20"/>
        </w:rPr>
        <w:t>ETP</w:t>
      </w:r>
      <w:r>
        <w:rPr>
          <w:rFonts w:cs="Arial" w:ascii="Verdana" w:hAnsi="Verdana"/>
          <w:bCs/>
          <w:sz w:val="20"/>
        </w:rPr>
        <w:t>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  <w:shd w:fill="FFFF00" w:val="clear"/>
        </w:rPr>
      </w:pPr>
      <w:r>
        <w:rPr>
          <w:rFonts w:ascii="Verdana" w:hAnsi="Verdana"/>
          <w:sz w:val="20"/>
          <w:shd w:fill="FFFF00" w:val="clear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bCs/>
          <w:sz w:val="20"/>
        </w:rPr>
        <w:t>4. REQUISITOS DA CONTRATAÇÃO</w:t>
      </w:r>
    </w:p>
    <w:p>
      <w:pPr>
        <w:pStyle w:val="Normal"/>
        <w:tabs>
          <w:tab w:val="clear" w:pos="708"/>
          <w:tab w:val="left" w:pos="563" w:leader="none"/>
        </w:tabs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4.1. Não haverá danos ao meio ambiente, uma vez que o serviço não gerará tal problema para a Administração Pública.</w:t>
      </w:r>
    </w:p>
    <w:p>
      <w:pPr>
        <w:pStyle w:val="Normal"/>
        <w:tabs>
          <w:tab w:val="clear" w:pos="708"/>
          <w:tab w:val="left" w:pos="513" w:leader="none"/>
        </w:tabs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4.2. A empresa prestadora de serviços será contratada por meio de </w:t>
      </w:r>
      <w:r>
        <w:rPr>
          <w:rFonts w:ascii="Verdana" w:hAnsi="Verdana"/>
          <w:b/>
          <w:bCs/>
          <w:sz w:val="20"/>
        </w:rPr>
        <w:t>licitação</w:t>
      </w:r>
      <w:r>
        <w:rPr>
          <w:rFonts w:ascii="Verdana" w:hAnsi="Verdana"/>
          <w:sz w:val="20"/>
        </w:rPr>
        <w:t xml:space="preserve">, sendo sagrado vencedor, o fornecedor que apresentar o </w:t>
      </w:r>
      <w:r>
        <w:rPr>
          <w:rFonts w:ascii="Verdana" w:hAnsi="Verdana"/>
          <w:b/>
          <w:bCs/>
          <w:sz w:val="20"/>
        </w:rPr>
        <w:t>menor valor global</w:t>
      </w:r>
      <w:r>
        <w:rPr>
          <w:rFonts w:ascii="Verdana" w:hAnsi="Verdana"/>
          <w:sz w:val="20"/>
        </w:rPr>
        <w:t xml:space="preserve"> dos itens, isto é, do lote 01 – justifica-se a contratação por lote, pois os serviços executados pela mesma empresa (realizados ao mesmo tempo gerará economia para a Administração), com </w:t>
      </w:r>
      <w:r>
        <w:rPr>
          <w:rFonts w:ascii="Verdana" w:hAnsi="Verdana"/>
          <w:color w:val="000000"/>
          <w:sz w:val="20"/>
        </w:rPr>
        <w:t>a prestação de serviços</w:t>
      </w:r>
      <w:r>
        <w:rPr>
          <w:rFonts w:ascii="Verdana" w:hAnsi="Verdana"/>
          <w:sz w:val="20"/>
        </w:rPr>
        <w:t xml:space="preserve"> </w:t>
      </w:r>
      <w:r>
        <w:rPr>
          <w:rFonts w:ascii="Verdana" w:hAnsi="Verdana"/>
          <w:color w:val="000000"/>
          <w:sz w:val="20"/>
        </w:rPr>
        <w:t>de acordo com a solicitação da secretaria requisitante</w:t>
      </w:r>
      <w:r>
        <w:rPr>
          <w:rFonts w:ascii="Verdana" w:hAnsi="Verdana"/>
          <w:sz w:val="20"/>
        </w:rPr>
        <w:t>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4.3. A empresa fornecedora deverá </w:t>
      </w:r>
      <w:r>
        <w:rPr>
          <w:rFonts w:ascii="Verdana" w:hAnsi="Verdana"/>
          <w:color w:val="000000"/>
          <w:sz w:val="20"/>
        </w:rPr>
        <w:t>realizar</w:t>
      </w:r>
      <w:r>
        <w:rPr>
          <w:rFonts w:ascii="Verdana" w:hAnsi="Verdana"/>
          <w:sz w:val="20"/>
        </w:rPr>
        <w:t xml:space="preserve"> o serviço conforme especificação no contrato e na autorização de fornecimento/execução.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4.4. A empresa fornecedora deverá </w:t>
      </w:r>
      <w:r>
        <w:rPr>
          <w:rFonts w:ascii="Verdana" w:hAnsi="Verdana"/>
          <w:color w:val="000000"/>
          <w:sz w:val="20"/>
        </w:rPr>
        <w:t>realizar</w:t>
      </w:r>
      <w:r>
        <w:rPr>
          <w:rFonts w:ascii="Verdana" w:hAnsi="Verdana"/>
          <w:sz w:val="20"/>
        </w:rPr>
        <w:t xml:space="preserve"> o serviço solicitado na data estipulada na autorização de fornecimento/execução emitida pelo Departamento de Compras e Contratos.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eastAsia="Arial" w:cs="Arial" w:ascii="Verdana" w:hAnsi="Verdana"/>
          <w:sz w:val="20"/>
        </w:rPr>
        <w:t>4.5</w:t>
      </w:r>
      <w:r>
        <w:rPr>
          <w:rFonts w:eastAsia="Arial" w:cs="Arial" w:ascii="Verdana" w:hAnsi="Verdana"/>
          <w:b/>
          <w:sz w:val="20"/>
        </w:rPr>
        <w:t xml:space="preserve">. </w:t>
      </w:r>
      <w:r>
        <w:rPr>
          <w:rFonts w:ascii="Verdana" w:hAnsi="Verdana"/>
          <w:sz w:val="20"/>
        </w:rPr>
        <w:t>Apresentar os documentos de cobrança, inclusive Nota Fiscal, com a descrição dos serviços realizados.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  <w:lang w:eastAsia="zh-CN"/>
        </w:rPr>
        <w:t>4.6.</w:t>
      </w:r>
      <w:r>
        <w:rPr>
          <w:rFonts w:ascii="Verdana" w:hAnsi="Verdana"/>
          <w:b/>
          <w:sz w:val="20"/>
          <w:lang w:eastAsia="zh-CN"/>
        </w:rPr>
        <w:t xml:space="preserve"> </w:t>
      </w:r>
      <w:r>
        <w:rPr>
          <w:rFonts w:ascii="Verdana" w:hAnsi="Verdana"/>
          <w:sz w:val="20"/>
        </w:rPr>
        <w:t>Assumir inteira responsabilidade civil, administrativa e penal por quaisquer danos e prejuízos, aos equipamentos ou pessoas, causados pela Contratada, seus empregados, ou prepostos ao Contratante ou a terceiros.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4.7. Obriga-se a Contratada, mediante solicitação do Contratante, a orçar previamente eventual execução de serviços não cobertos pelo objeto do Contrato.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4.8. Prover condições que possibilitem o atendimento dos serviços a partir da data da assinatura do contrato.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4.9. Manter durante a vigência do Contrato todas as condições de habilitação e qualificação exigidas pela legislação em vigor.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4.10. Ressarcir os eventuais prejuízos causados ao órgão e/ou a terceiros, provocados por ineficiência ou irregularidades cometidas por seus empregados ou prepostos na execução dos serviços contratados.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4.11. Permitir e facilitar aos fiscais da Prefeitura de São Gabriel da Palha a inspeção em qualquer dia e hora, prestando todos informes e esclarecimentos solicitados, relacionados com os serviços contratados.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  <w:lang w:eastAsia="zh-CN"/>
        </w:rPr>
        <w:t xml:space="preserve">4.12. </w:t>
      </w:r>
      <w:r>
        <w:rPr>
          <w:rFonts w:ascii="Verdana" w:hAnsi="Verdana"/>
          <w:sz w:val="20"/>
        </w:rPr>
        <w:t>Manter-se plenamente de acordo com os preceitos legais pertinentes à segurança do trabalho, adotando sempre as melhores normas técnicas de segurança e saúde aos profissionais que atuarão na execução do objeto do Contrato.</w:t>
      </w:r>
    </w:p>
    <w:p>
      <w:pPr>
        <w:pStyle w:val="Normal"/>
        <w:tabs>
          <w:tab w:val="clear" w:pos="708"/>
          <w:tab w:val="left" w:pos="142" w:leader="none"/>
        </w:tabs>
        <w:spacing w:lineRule="auto" w:line="276"/>
        <w:jc w:val="both"/>
        <w:rPr>
          <w:rFonts w:ascii="Verdana" w:hAnsi="Verdana"/>
          <w:sz w:val="20"/>
        </w:rPr>
      </w:pPr>
      <w:r>
        <w:rPr>
          <w:rFonts w:eastAsia="Arial" w:cs="Arial" w:ascii="Verdana" w:hAnsi="Verdana"/>
          <w:sz w:val="20"/>
        </w:rPr>
        <w:t>4.13. Executar os serviços de acordo com a melhor técnica e nos padrões de segurança.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  <w:lang w:eastAsia="zh-CN"/>
        </w:rPr>
        <w:t xml:space="preserve">4.14. </w:t>
      </w:r>
      <w:r>
        <w:rPr>
          <w:rFonts w:eastAsia="Arial" w:cs="Arial" w:ascii="Verdana" w:hAnsi="Verdana"/>
          <w:sz w:val="20"/>
          <w:lang w:eastAsia="zh-CN"/>
        </w:rPr>
        <w:t>Atender com plenitude as exigências contidas nas especificações do objeto do Contrato.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color w:val="000000"/>
          <w:sz w:val="20"/>
        </w:rPr>
        <w:t xml:space="preserve">4.15. </w:t>
      </w:r>
      <w:r>
        <w:rPr>
          <w:rFonts w:ascii="Verdana" w:hAnsi="Verdana"/>
          <w:sz w:val="20"/>
        </w:rPr>
        <w:t>Não será admitida a subcontratação do objeto contratual.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color w:val="000000"/>
          <w:sz w:val="20"/>
        </w:rPr>
        <w:t>4.16.</w:t>
      </w:r>
      <w:r>
        <w:rPr>
          <w:rFonts w:ascii="Verdana" w:hAnsi="Verdana"/>
          <w:sz w:val="20"/>
        </w:rPr>
        <w:t xml:space="preserve"> Não haverá exigência da garantia da contratação dos arts. 96 e seguintes da Lei nº 14.133/21.</w:t>
      </w:r>
    </w:p>
    <w:p>
      <w:pPr>
        <w:pStyle w:val="ListParagraph"/>
        <w:shd w:fill="FFFFFF" w:val="clear"/>
        <w:suppressAutoHyphens w:val="false"/>
        <w:spacing w:before="0" w:after="0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4.17. A contratação deverá obedecer, no que couber, ao disposto na Lei nº 14.133/2021 e suas alterações.</w:t>
      </w:r>
    </w:p>
    <w:p>
      <w:pPr>
        <w:pStyle w:val="Normal"/>
        <w:spacing w:lineRule="auto" w:line="276"/>
        <w:jc w:val="both"/>
        <w:rPr>
          <w:rFonts w:ascii="Verdana" w:hAnsi="Verdana"/>
          <w:b/>
          <w:bCs/>
          <w:sz w:val="20"/>
        </w:rPr>
      </w:pPr>
      <w:r>
        <w:rPr>
          <w:rFonts w:ascii="Verdana" w:hAnsi="Verdana"/>
          <w:b/>
          <w:bCs/>
          <w:sz w:val="20"/>
        </w:rPr>
        <w:t>4.18. A empresa deverá apresentar os seguintes documentos para contratação para comprovação de qualificação técnica: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bookmarkStart w:id="0" w:name="_Hlk177983343"/>
      <w:r>
        <w:rPr>
          <w:rFonts w:ascii="Verdana" w:hAnsi="Verdana"/>
          <w:sz w:val="20"/>
        </w:rPr>
        <w:t>4.18.1. Certidão de Registro e Quitação (CRQ) da pessoa jurídica junto ao CREA/ES, contendo a discriminação de seu corpo técnico;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4.18.2. Certidão de Registro e Quitação (CRQ) da pessoa jurídica junto ao CREA/ES, relativa ao profissional (engenheiro mecânico) pertencente ao corpo técnico da empresa que será o responsável pela execução dos serviços licitados;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4.18.3 Comprovante de credenciamento do profissional técnico da engenharia junto à CETURB/ES, que o habilite à execução dos serviços de vistoria mecânica;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bookmarkStart w:id="1" w:name="_Hlk177983343"/>
      <w:r>
        <w:rPr>
          <w:rFonts w:ascii="Verdana" w:hAnsi="Verdana"/>
          <w:sz w:val="20"/>
        </w:rPr>
        <w:t>4.18.4 Comprovante de que a licitante prestou, sem restrição, serviços iguais ou semelhantes ao licitado.</w:t>
      </w:r>
      <w:bookmarkEnd w:id="1"/>
    </w:p>
    <w:p>
      <w:pPr>
        <w:pStyle w:val="Normal"/>
        <w:spacing w:lineRule="auto" w:line="276"/>
        <w:jc w:val="both"/>
        <w:rPr>
          <w:rFonts w:ascii="Verdana" w:hAnsi="Verdana"/>
          <w:sz w:val="20"/>
          <w:shd w:fill="FFFF00" w:val="clear"/>
        </w:rPr>
      </w:pPr>
      <w:r>
        <w:rPr>
          <w:rFonts w:ascii="Verdana" w:hAnsi="Verdana"/>
          <w:sz w:val="20"/>
          <w:shd w:fill="FFFF00" w:val="clear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bCs/>
          <w:sz w:val="20"/>
        </w:rPr>
        <w:t>5. MODELO DE EXECUÇÃO CONTRATUAL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5.1. O prazo de execução dos serviços será de 60 (sessenta) meses, de acordo com o contrato e a </w:t>
      </w:r>
      <w:r>
        <w:rPr>
          <w:rFonts w:ascii="Verdana" w:hAnsi="Verdana"/>
          <w:color w:val="000000"/>
          <w:sz w:val="20"/>
        </w:rPr>
        <w:t>autorização</w:t>
      </w:r>
      <w:r>
        <w:rPr>
          <w:rFonts w:ascii="Verdana" w:hAnsi="Verdana"/>
          <w:sz w:val="20"/>
        </w:rPr>
        <w:t xml:space="preserve"> de compras/execução emitida pelo Departamento de Compras e Contratos e seu respectivo prazo </w:t>
      </w:r>
      <w:r>
        <w:rPr>
          <w:rFonts w:ascii="Verdana" w:hAnsi="Verdana"/>
          <w:color w:val="000000"/>
          <w:sz w:val="20"/>
        </w:rPr>
        <w:t>de realização dos serviços</w:t>
      </w:r>
      <w:r>
        <w:rPr>
          <w:rFonts w:ascii="Verdana" w:hAnsi="Verdana"/>
          <w:sz w:val="20"/>
        </w:rPr>
        <w:t>.</w:t>
      </w:r>
    </w:p>
    <w:p>
      <w:pPr>
        <w:pStyle w:val="Normal"/>
        <w:tabs>
          <w:tab w:val="clear" w:pos="708"/>
          <w:tab w:val="left" w:pos="508" w:leader="none"/>
        </w:tabs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color w:val="000000"/>
          <w:sz w:val="20"/>
        </w:rPr>
        <w:t>5.2. Os serviços serão realizados na empresa contratada.</w:t>
      </w:r>
    </w:p>
    <w:p>
      <w:pPr>
        <w:pStyle w:val="Normal"/>
        <w:tabs>
          <w:tab w:val="clear" w:pos="708"/>
          <w:tab w:val="left" w:pos="508" w:leader="none"/>
        </w:tabs>
        <w:spacing w:lineRule="auto" w:line="276"/>
        <w:jc w:val="both"/>
        <w:rPr>
          <w:rFonts w:ascii="Verdana" w:hAnsi="Verdana"/>
          <w:sz w:val="20"/>
        </w:rPr>
      </w:pPr>
      <w:r>
        <w:rPr>
          <w:rFonts w:cs="Arial" w:ascii="Verdana" w:hAnsi="Verdana"/>
          <w:bCs/>
          <w:color w:val="000000"/>
          <w:sz w:val="20"/>
        </w:rPr>
        <w:t xml:space="preserve">5.2.1 Responsável: </w:t>
      </w:r>
      <w:r>
        <w:rPr>
          <w:rFonts w:ascii="Verdana" w:hAnsi="Verdana"/>
          <w:sz w:val="20"/>
        </w:rPr>
        <w:t>Secretaria Municipal de E</w:t>
      </w:r>
      <w:r>
        <w:rPr>
          <w:rFonts w:ascii="Verdana" w:hAnsi="Verdana"/>
          <w:color w:val="000000"/>
          <w:sz w:val="20"/>
        </w:rPr>
        <w:t>ducação</w:t>
      </w:r>
      <w:r>
        <w:rPr>
          <w:rFonts w:ascii="Verdana" w:hAnsi="Verdana"/>
          <w:sz w:val="20"/>
        </w:rPr>
        <w:t xml:space="preserve">, localizada no 2º andar da Sede desta Prefeitura, à </w:t>
      </w:r>
      <w:r>
        <w:rPr>
          <w:rFonts w:cs="Liberation Serif" w:ascii="Verdana" w:hAnsi="Verdana"/>
          <w:color w:val="000000"/>
          <w:sz w:val="20"/>
        </w:rPr>
        <w:t>Praça Vicente Glazar, nº 159</w:t>
      </w:r>
      <w:r>
        <w:rPr>
          <w:rFonts w:cs="Liberation Serif" w:ascii="Verdana" w:hAnsi="Verdana"/>
          <w:sz w:val="20"/>
        </w:rPr>
        <w:t xml:space="preserve">, Bairro Glória, </w:t>
      </w:r>
      <w:r>
        <w:rPr>
          <w:rFonts w:ascii="Verdana" w:hAnsi="Verdana"/>
          <w:sz w:val="20"/>
        </w:rPr>
        <w:t>São Gabriel da Palha – ES, Cep.29.780-000.</w:t>
      </w:r>
    </w:p>
    <w:p>
      <w:pPr>
        <w:pStyle w:val="Normal"/>
        <w:tabs>
          <w:tab w:val="clear" w:pos="708"/>
          <w:tab w:val="left" w:pos="508" w:leader="none"/>
        </w:tabs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E-mail.: </w:t>
      </w:r>
      <w:hyperlink r:id="rId2">
        <w:r>
          <w:rPr>
            <w:rStyle w:val="ListLabel1"/>
            <w:rFonts w:ascii="Verdana" w:hAnsi="Verdana"/>
            <w:color w:val="000000"/>
            <w:sz w:val="20"/>
          </w:rPr>
          <w:t>transportesemedsgp@gmail.com</w:t>
        </w:r>
      </w:hyperlink>
    </w:p>
    <w:p>
      <w:pPr>
        <w:pStyle w:val="Normal"/>
        <w:tabs>
          <w:tab w:val="clear" w:pos="708"/>
          <w:tab w:val="left" w:pos="508" w:leader="none"/>
        </w:tabs>
        <w:spacing w:lineRule="auto" w:line="276"/>
        <w:jc w:val="both"/>
        <w:rPr>
          <w:rFonts w:ascii="Verdana" w:hAnsi="Verdana"/>
          <w:sz w:val="20"/>
        </w:rPr>
      </w:pPr>
      <w:r>
        <w:rPr>
          <w:rStyle w:val="Hyperlink1"/>
          <w:rFonts w:ascii="Verdana" w:hAnsi="Verdana"/>
          <w:color w:val="000000"/>
          <w:sz w:val="20"/>
          <w:u w:val="none"/>
        </w:rPr>
        <w:t>Telefone: (27) 3727 - 1993</w:t>
      </w:r>
    </w:p>
    <w:p>
      <w:pPr>
        <w:pStyle w:val="Normal"/>
        <w:tabs>
          <w:tab w:val="clear" w:pos="708"/>
          <w:tab w:val="left" w:pos="508" w:leader="none"/>
        </w:tabs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color w:val="000000"/>
          <w:sz w:val="20"/>
        </w:rPr>
        <w:t>5.3. O prazo de entrega do laudo de vistoria será imediato após a realização do serviço.</w:t>
      </w:r>
    </w:p>
    <w:p>
      <w:pPr>
        <w:pStyle w:val="Normal"/>
        <w:tabs>
          <w:tab w:val="clear" w:pos="708"/>
          <w:tab w:val="left" w:pos="508" w:leader="none"/>
        </w:tabs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color w:val="000000"/>
          <w:sz w:val="20"/>
        </w:rPr>
        <w:t>5.4. A empresa deverá responsabilizar-se pelos veículos entregues para vistoria, assumindo total responsabilidade por quaisquer danos ou prejuízos causados ao veículo ou a terceiros, enquanto o veículo estiver sob sua guarda.</w:t>
      </w:r>
    </w:p>
    <w:p>
      <w:pPr>
        <w:pStyle w:val="Normal"/>
        <w:tabs>
          <w:tab w:val="clear" w:pos="708"/>
          <w:tab w:val="left" w:pos="508" w:leader="none"/>
        </w:tabs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color w:val="000000"/>
          <w:sz w:val="20"/>
        </w:rPr>
        <w:t>5.5. Caso o veículo seja reprovado na vistoria, o Município poderá solicitar um novo laudo num prazo de 30 (trinta) dias, e este deve ser refeito sem custos adicionais.</w:t>
      </w:r>
    </w:p>
    <w:p>
      <w:pPr>
        <w:pStyle w:val="Normal"/>
        <w:tabs>
          <w:tab w:val="clear" w:pos="708"/>
          <w:tab w:val="left" w:pos="508" w:leader="none"/>
        </w:tabs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color w:val="000000"/>
          <w:sz w:val="20"/>
        </w:rPr>
        <w:t xml:space="preserve">5.6. </w:t>
      </w:r>
      <w:r>
        <w:rPr>
          <w:rFonts w:cs="Arial" w:ascii="Verdana" w:hAnsi="Verdana"/>
          <w:color w:val="000000"/>
          <w:sz w:val="20"/>
        </w:rPr>
        <w:t>O recebimento provisório ou definitivo do objeto não exclui a responsabilidade da contratada pelos prejuízos resultantes da incorreta execução do contrato.</w:t>
      </w:r>
    </w:p>
    <w:p>
      <w:pPr>
        <w:pStyle w:val="Normal"/>
        <w:tabs>
          <w:tab w:val="clear" w:pos="708"/>
          <w:tab w:val="left" w:pos="508" w:leader="none"/>
        </w:tabs>
        <w:spacing w:lineRule="auto" w:line="276"/>
        <w:jc w:val="both"/>
        <w:rPr>
          <w:rFonts w:ascii="Verdana" w:hAnsi="Verdana" w:cs="Arial"/>
          <w:color w:val="000000"/>
          <w:sz w:val="20"/>
        </w:rPr>
      </w:pPr>
      <w:r>
        <w:rPr>
          <w:rFonts w:cs="Arial" w:ascii="Verdana" w:hAnsi="Verdana"/>
          <w:color w:val="000000"/>
          <w:sz w:val="20"/>
        </w:rPr>
        <w:t>5.7. O contrato deverá ser executado fielmente pelas partes, de acordo com as cláusulas avençadas e as normas da Lei nº 14.133, de 2021, e cada parte responderá pelas consequências de sua inexecução total ou parcial.</w:t>
      </w:r>
    </w:p>
    <w:p>
      <w:pPr>
        <w:pStyle w:val="Normal"/>
        <w:tabs>
          <w:tab w:val="clear" w:pos="708"/>
          <w:tab w:val="left" w:pos="508" w:leader="none"/>
        </w:tabs>
        <w:spacing w:lineRule="auto" w:line="276"/>
        <w:jc w:val="both"/>
        <w:rPr>
          <w:rFonts w:ascii="Verdana" w:hAnsi="Verdana" w:cs="Arial"/>
          <w:color w:val="000000"/>
          <w:sz w:val="20"/>
        </w:rPr>
      </w:pPr>
      <w:r>
        <w:rPr>
          <w:rFonts w:cs="Arial" w:ascii="Verdana" w:hAnsi="Verdana"/>
          <w:color w:val="000000"/>
          <w:sz w:val="20"/>
        </w:rPr>
        <w:t>5.8. As comunicações entre o órgão ou entidade e a contratada devem ser realizadas por escrito sempre que o ato exigir tal formalidade, admitindo-se o uso de mensagem eletrônica para esse fim.</w:t>
      </w:r>
    </w:p>
    <w:p>
      <w:pPr>
        <w:pStyle w:val="Normal"/>
        <w:tabs>
          <w:tab w:val="clear" w:pos="708"/>
          <w:tab w:val="left" w:pos="508" w:leader="none"/>
        </w:tabs>
        <w:spacing w:lineRule="auto" w:line="276"/>
        <w:jc w:val="both"/>
        <w:rPr>
          <w:rFonts w:ascii="Verdana" w:hAnsi="Verdana" w:cs="Arial"/>
          <w:color w:val="000000"/>
          <w:sz w:val="20"/>
        </w:rPr>
      </w:pPr>
      <w:r>
        <w:rPr>
          <w:rFonts w:cs="Arial" w:ascii="Verdana" w:hAnsi="Verdana"/>
          <w:color w:val="000000"/>
          <w:sz w:val="20"/>
        </w:rPr>
        <w:t>5.9. O órgão ou entidade poderá convocar representante da empresa para adoção de Providências que devam ser cumpridas de imediato.</w:t>
      </w:r>
    </w:p>
    <w:p>
      <w:pPr>
        <w:pStyle w:val="Nivel2"/>
        <w:spacing w:before="0" w:after="0"/>
        <w:rPr>
          <w:rFonts w:ascii="Verdana" w:hAnsi="Verdana"/>
          <w:b/>
          <w:sz w:val="20"/>
          <w:szCs w:val="20"/>
          <w:u w:val="single"/>
        </w:rPr>
      </w:pPr>
      <w:r>
        <w:rPr>
          <w:rFonts w:cs="Times New Roman" w:ascii="Verdana" w:hAnsi="Verdana"/>
          <w:color w:val="auto"/>
          <w:sz w:val="20"/>
          <w:szCs w:val="20"/>
        </w:rPr>
        <w:t>5.10.</w:t>
      </w:r>
      <w:r>
        <w:rPr>
          <w:rFonts w:cs="Times New Roman" w:ascii="Verdana" w:hAnsi="Verdana"/>
          <w:bCs/>
          <w:color w:val="auto"/>
          <w:sz w:val="20"/>
          <w:szCs w:val="20"/>
        </w:rPr>
        <w:t xml:space="preserve"> Os veículos e certificados serão recebidos pelo(a) responsável pelo acompanhamento e fiscalização, para efeito de posterior verificação de sua conformidade com as especificações constantes no Contrato e neste Termo de Referência e na proposta.</w:t>
      </w:r>
    </w:p>
    <w:p>
      <w:pPr>
        <w:pStyle w:val="ListParagraph"/>
        <w:tabs>
          <w:tab w:val="clear" w:pos="708"/>
          <w:tab w:val="left" w:pos="508" w:leader="none"/>
        </w:tabs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eastAsia="Times New Roman" w:cs="Arial" w:ascii="Verdana" w:hAnsi="Verdana"/>
          <w:color w:val="000000"/>
          <w:sz w:val="20"/>
          <w:szCs w:val="20"/>
        </w:rPr>
        <w:t xml:space="preserve">5.5. A conferência/fiscalização deverá ser acompanhada por um servidor </w:t>
      </w:r>
      <w:r>
        <w:rPr>
          <w:rFonts w:eastAsia="Times New Roman" w:cs="Times New Roman" w:ascii="Verdana" w:hAnsi="Verdana"/>
          <w:color w:val="000000"/>
          <w:sz w:val="20"/>
          <w:szCs w:val="20"/>
        </w:rPr>
        <w:t>da secretaria requisitante</w:t>
      </w:r>
      <w:r>
        <w:rPr>
          <w:rFonts w:eastAsia="Times New Roman" w:cs="Arial" w:ascii="Verdana" w:hAnsi="Verdana"/>
          <w:color w:val="000000"/>
          <w:sz w:val="20"/>
          <w:szCs w:val="20"/>
        </w:rPr>
        <w:t>, a fim de zelar pela qualidade e quantidade dos itens a serem adquiridos.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cs="Arial" w:ascii="Verdana" w:hAnsi="Verdana"/>
          <w:b/>
          <w:bCs/>
          <w:color w:val="000000"/>
          <w:sz w:val="20"/>
        </w:rPr>
        <w:t>6. OBRIGAÇÕES DA CONTRATANTE</w:t>
      </w:r>
    </w:p>
    <w:p>
      <w:pPr>
        <w:pStyle w:val="Normal"/>
        <w:spacing w:lineRule="auto" w:line="276" w:before="57" w:after="57"/>
        <w:jc w:val="both"/>
        <w:rPr>
          <w:rFonts w:ascii="Verdana" w:hAnsi="Verdana"/>
          <w:sz w:val="20"/>
        </w:rPr>
      </w:pPr>
      <w:r>
        <w:rPr>
          <w:rFonts w:cs="Arial" w:ascii="Verdana" w:hAnsi="Verdana"/>
          <w:color w:val="000000"/>
          <w:sz w:val="20"/>
        </w:rPr>
        <w:t>6.1. Constituem obrigações da Contratante, além de outras previstas no Contrato, Termo de Referência, no Edital e seus anexos:</w:t>
      </w:r>
    </w:p>
    <w:p>
      <w:pPr>
        <w:pStyle w:val="Normal"/>
        <w:spacing w:lineRule="auto" w:line="276" w:before="57" w:after="57"/>
        <w:jc w:val="both"/>
        <w:rPr>
          <w:rFonts w:ascii="Verdana" w:hAnsi="Verdana"/>
          <w:sz w:val="20"/>
        </w:rPr>
      </w:pPr>
      <w:r>
        <w:rPr>
          <w:rFonts w:cs="Arial" w:ascii="Verdana" w:hAnsi="Verdana"/>
          <w:color w:val="000000"/>
          <w:sz w:val="20"/>
        </w:rPr>
        <w:t>6.2. Contratar o serviço no prazo e condições estabelecidas no Edital e seus anexos.</w:t>
      </w:r>
    </w:p>
    <w:p>
      <w:pPr>
        <w:pStyle w:val="Normal"/>
        <w:tabs>
          <w:tab w:val="clear" w:pos="708"/>
          <w:tab w:val="left" w:pos="508" w:leader="none"/>
        </w:tabs>
        <w:spacing w:lineRule="auto" w:line="276" w:before="57" w:after="57"/>
        <w:jc w:val="both"/>
        <w:rPr>
          <w:rFonts w:ascii="Verdana" w:hAnsi="Verdana"/>
          <w:sz w:val="20"/>
        </w:rPr>
      </w:pPr>
      <w:r>
        <w:rPr>
          <w:rFonts w:cs="Arial" w:ascii="Verdana" w:hAnsi="Verdana"/>
          <w:color w:val="000000"/>
          <w:sz w:val="20"/>
        </w:rPr>
        <w:t>6.3. Verificar a conformidade dos serviços prestados de acordo com as especificações constantes no Contrato, Termo de Referência, Edital e seus anexos.</w:t>
      </w:r>
    </w:p>
    <w:p>
      <w:pPr>
        <w:pStyle w:val="Normal"/>
        <w:tabs>
          <w:tab w:val="clear" w:pos="708"/>
          <w:tab w:val="left" w:pos="508" w:leader="none"/>
        </w:tabs>
        <w:spacing w:lineRule="auto" w:line="276" w:before="57" w:after="57"/>
        <w:jc w:val="both"/>
        <w:rPr>
          <w:rFonts w:ascii="Verdana" w:hAnsi="Verdana"/>
          <w:sz w:val="20"/>
        </w:rPr>
      </w:pPr>
      <w:r>
        <w:rPr>
          <w:rFonts w:cs="Arial" w:ascii="Verdana" w:hAnsi="Verdana"/>
          <w:color w:val="000000"/>
          <w:sz w:val="20"/>
        </w:rPr>
        <w:t>6.4. Comunicar a Contratada, por escrito, sobre imperfeições, falhas ou irregularidades verificadas no objeto contratado, para que tome as providências cabíveis.</w:t>
      </w:r>
    </w:p>
    <w:p>
      <w:pPr>
        <w:pStyle w:val="Normal"/>
        <w:tabs>
          <w:tab w:val="clear" w:pos="708"/>
          <w:tab w:val="left" w:pos="508" w:leader="none"/>
        </w:tabs>
        <w:spacing w:lineRule="auto" w:line="276" w:before="57" w:after="57"/>
        <w:jc w:val="both"/>
        <w:rPr>
          <w:rFonts w:ascii="Verdana" w:hAnsi="Verdana" w:cs="Arial"/>
          <w:b/>
          <w:sz w:val="20"/>
          <w:u w:val="single"/>
        </w:rPr>
      </w:pPr>
      <w:r>
        <w:rPr>
          <w:rFonts w:cs="Arial" w:ascii="Verdana" w:hAnsi="Verdana"/>
          <w:color w:val="000000"/>
          <w:sz w:val="20"/>
        </w:rPr>
        <w:t>6.5. Acompanhar e fiscalizar o cumprimento das obrigações da Contratada.</w:t>
      </w:r>
    </w:p>
    <w:p>
      <w:pPr>
        <w:pStyle w:val="Normal"/>
        <w:tabs>
          <w:tab w:val="clear" w:pos="708"/>
          <w:tab w:val="left" w:pos="508" w:leader="none"/>
        </w:tabs>
        <w:spacing w:lineRule="auto" w:line="276" w:before="57" w:after="57"/>
        <w:jc w:val="both"/>
        <w:rPr>
          <w:rFonts w:ascii="Verdana" w:hAnsi="Verdana"/>
          <w:sz w:val="20"/>
        </w:rPr>
      </w:pPr>
      <w:r>
        <w:rPr>
          <w:rFonts w:cs="Arial" w:ascii="Verdana" w:hAnsi="Verdana"/>
          <w:color w:val="000000"/>
          <w:sz w:val="20"/>
        </w:rPr>
        <w:t xml:space="preserve">6.6. Efetuar o pagamento à Contratada no valor correspondente à prestação do objeto, no prazo e forma estabelecidos no Edital e seus anexo. </w:t>
      </w:r>
    </w:p>
    <w:p>
      <w:pPr>
        <w:pStyle w:val="Normal"/>
        <w:tabs>
          <w:tab w:val="clear" w:pos="708"/>
          <w:tab w:val="left" w:pos="508" w:leader="none"/>
        </w:tabs>
        <w:spacing w:lineRule="auto" w:line="276" w:before="57" w:after="57"/>
        <w:jc w:val="both"/>
        <w:rPr>
          <w:rFonts w:ascii="Verdana" w:hAnsi="Verdana" w:cs="Arial"/>
          <w:b/>
          <w:sz w:val="20"/>
          <w:u w:val="single"/>
        </w:rPr>
      </w:pPr>
      <w:r>
        <w:rPr>
          <w:rFonts w:cs="Arial" w:ascii="Verdana" w:hAnsi="Verdana"/>
          <w:color w:val="000000"/>
          <w:sz w:val="20"/>
        </w:rPr>
        <w:t>6.7. A Administração não responderá por quaisquer compromissos assumidos pela Contratada com terceiros, ainda que vinculados à execução do presente contrato, bem como por qualquer dano causado a terceiros em decorrência de ato da Contratada, de seus empregados, prepostos ou subordinados.</w:t>
      </w:r>
    </w:p>
    <w:p>
      <w:pPr>
        <w:pStyle w:val="Normal"/>
        <w:tabs>
          <w:tab w:val="clear" w:pos="708"/>
          <w:tab w:val="left" w:pos="508" w:leader="none"/>
        </w:tabs>
        <w:spacing w:lineRule="auto" w:line="276"/>
        <w:jc w:val="both"/>
        <w:rPr>
          <w:rFonts w:ascii="Verdana" w:hAnsi="Verdana" w:cs="Arial"/>
          <w:b/>
          <w:sz w:val="20"/>
          <w:u w:val="single"/>
        </w:rPr>
      </w:pPr>
      <w:r>
        <w:rPr>
          <w:rFonts w:cs="Arial" w:ascii="Verdana" w:hAnsi="Verdana"/>
          <w:b/>
          <w:sz w:val="20"/>
          <w:u w:val="single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cs="Arial" w:ascii="Verdana" w:hAnsi="Verdana"/>
          <w:b/>
          <w:bCs/>
          <w:color w:val="000000"/>
          <w:sz w:val="20"/>
        </w:rPr>
        <w:t>7. OBRIGAÇÕES DA CONTRATADA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cs="Arial" w:ascii="Verdana" w:hAnsi="Verdana"/>
          <w:color w:val="000000"/>
          <w:sz w:val="20"/>
        </w:rPr>
        <w:t>7.1. A Contratada deve cumprir todas as obrigações constantes no Contrato, neste Termo de Referência, seus anexos e sua proposta, assumindo como exclusivamente seus os riscos e as despesas decorrentes da boa e perfeita execução do objeto.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cs="Arial" w:ascii="Verdana" w:hAnsi="Verdana"/>
          <w:color w:val="000000"/>
          <w:sz w:val="20"/>
        </w:rPr>
        <w:t>7.2. Efetuar as vistorias e demais serviços, conforme especificações, prazo e local constantes no Contrato, Termo de Referência e seus anexos, acompanhado da respectiva nota fiscal.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cs="Arial" w:ascii="Verdana" w:hAnsi="Verdana"/>
          <w:color w:val="000000"/>
          <w:sz w:val="20"/>
        </w:rPr>
        <w:t>7.3. Responsabilizar-se pelos vícios e danos decorrentes do objeto, de acordo com os artigos 12, 13 e 17 a 27, do Código de Defesa do Consumidor (Lei nº 8.078, de 1990).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cs="Arial" w:ascii="Verdana" w:hAnsi="Verdana"/>
          <w:color w:val="000000"/>
          <w:sz w:val="20"/>
        </w:rPr>
        <w:t>7.4. Substituir, reparar ou corrigir, às suas expensas, no prazo fixado neste Termo de Referência, o objeto com avarias ou defeitos.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cs="Arial" w:ascii="Verdana" w:hAnsi="Verdana"/>
          <w:color w:val="000000"/>
          <w:sz w:val="20"/>
        </w:rPr>
        <w:t>7.5. Comunicar à Contratante, no prazo máximo de 05 (cinco) dias que antecede a data da entrega, os motivos que impossibilitem o cumprimento do prazo previsto, com a devida comprovação.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cs="Arial" w:ascii="Verdana" w:hAnsi="Verdana"/>
          <w:color w:val="000000"/>
          <w:sz w:val="20"/>
        </w:rPr>
        <w:t>7.6. Manter, durante toda a execução do contrato, em compatibilidade com as obrigações assumidas, todas as condições de habilitação e qualificação exigidas na licitação.</w:t>
      </w:r>
    </w:p>
    <w:p>
      <w:pPr>
        <w:pStyle w:val="Normal"/>
        <w:tabs>
          <w:tab w:val="clear" w:pos="708"/>
          <w:tab w:val="left" w:pos="0" w:leader="none"/>
        </w:tabs>
        <w:spacing w:lineRule="auto" w:line="276"/>
        <w:jc w:val="both"/>
        <w:rPr>
          <w:rFonts w:ascii="Verdana" w:hAnsi="Verdana"/>
          <w:sz w:val="20"/>
        </w:rPr>
      </w:pPr>
      <w:r>
        <w:rPr>
          <w:rFonts w:cs="Arial" w:ascii="Verdana" w:hAnsi="Verdana"/>
          <w:color w:val="000000"/>
          <w:sz w:val="20"/>
        </w:rPr>
        <w:t>7.7. Indicar preposto para representá-la durante a execução do Contrato.</w:t>
      </w:r>
    </w:p>
    <w:p>
      <w:pPr>
        <w:pStyle w:val="Normal"/>
        <w:tabs>
          <w:tab w:val="clear" w:pos="708"/>
          <w:tab w:val="left" w:pos="0" w:leader="none"/>
        </w:tabs>
        <w:spacing w:lineRule="auto" w:line="276"/>
        <w:jc w:val="both"/>
        <w:rPr>
          <w:rFonts w:ascii="Verdana" w:hAnsi="Verdana"/>
          <w:sz w:val="20"/>
        </w:rPr>
      </w:pPr>
      <w:r>
        <w:rPr>
          <w:rFonts w:cs="Arial" w:ascii="Verdana" w:hAnsi="Verdana"/>
          <w:color w:val="000000"/>
          <w:sz w:val="20"/>
        </w:rPr>
        <w:t>7.8. A CONTRATADA será responsável pela observância das leis, decretos, regulamentos, portarias e normas federais, estaduais e municipais direta e indiretamente aplicáveis ao objeto do contrato.</w:t>
      </w:r>
    </w:p>
    <w:p>
      <w:pPr>
        <w:pStyle w:val="Normal"/>
        <w:tabs>
          <w:tab w:val="clear" w:pos="708"/>
          <w:tab w:val="left" w:pos="450" w:leader="none"/>
        </w:tabs>
        <w:spacing w:lineRule="auto" w:line="276"/>
        <w:jc w:val="both"/>
        <w:rPr>
          <w:rFonts w:ascii="Verdana" w:hAnsi="Verdana"/>
          <w:sz w:val="20"/>
        </w:rPr>
      </w:pPr>
      <w:r>
        <w:rPr>
          <w:rFonts w:cs="Arial" w:ascii="Verdana" w:hAnsi="Verdana"/>
          <w:color w:val="000000"/>
          <w:sz w:val="20"/>
        </w:rPr>
        <w:t>7.9. Durante a execução do Contrato, a CONTRATADA deverá:</w:t>
      </w:r>
      <w:r>
        <w:rPr>
          <w:rFonts w:ascii="Verdana" w:hAnsi="Verdana"/>
          <w:sz w:val="20"/>
        </w:rPr>
        <w:br/>
        <w:t>7</w:t>
      </w:r>
      <w:r>
        <w:rPr>
          <w:rFonts w:cs="Arial" w:ascii="Verdana" w:hAnsi="Verdana"/>
          <w:color w:val="000000"/>
          <w:sz w:val="20"/>
        </w:rPr>
        <w:t>.9.1. Atender prontamente às solicitações da secretaria requisitante nas quantidades e especificações do Contrato e Termo de Referência.</w:t>
      </w:r>
    </w:p>
    <w:p>
      <w:pPr>
        <w:pStyle w:val="Normal"/>
        <w:tabs>
          <w:tab w:val="clear" w:pos="708"/>
          <w:tab w:val="left" w:pos="0" w:leader="none"/>
        </w:tabs>
        <w:spacing w:lineRule="auto" w:line="276"/>
        <w:jc w:val="both"/>
        <w:rPr>
          <w:rFonts w:ascii="Verdana" w:hAnsi="Verdana"/>
          <w:sz w:val="20"/>
        </w:rPr>
      </w:pPr>
      <w:r>
        <w:rPr>
          <w:rFonts w:cs="Arial" w:ascii="Verdana" w:hAnsi="Verdana"/>
          <w:color w:val="000000"/>
          <w:sz w:val="20"/>
        </w:rPr>
        <w:t>7.9.2. A nota fiscal deverá ser acompanhada pelas Certidões de Regularidades Fiscais.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/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bCs/>
          <w:sz w:val="20"/>
        </w:rPr>
        <w:t>8. CRITÉRIOS DE PAGAMENTO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  <w:lang w:eastAsia="en-US"/>
        </w:rPr>
        <w:t>8.1. Recebida a Nota Fiscal ou documento de cobrança equivalente, correrá o prazo de (30) trinta dias úteis para fins de liquidação, na forma desta seção, prorrogáveis por igual período.</w:t>
      </w:r>
    </w:p>
    <w:p>
      <w:pPr>
        <w:pStyle w:val="Normal"/>
        <w:spacing w:lineRule="auto" w:line="276"/>
        <w:ind w:left="-22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8.2. O prazo de que trata o item anterior será reduzido à metade, mantendo-se a possibilidade de prorrogação, no caso de contratações decorrentes de despesas cujos valores não ultrapassem o limite de que trata o </w:t>
      </w:r>
      <w:r>
        <w:fldChar w:fldCharType="begin"/>
      </w:r>
      <w:r>
        <w:rPr>
          <w:rStyle w:val="ListLabel1"/>
          <w:sz w:val="20"/>
          <w:rFonts w:ascii="Verdana" w:hAnsi="Verdana"/>
          <w:color w:val="000000"/>
        </w:rPr>
        <w:instrText xml:space="preserve"> HYPERLINK "http://www.planalto.gov.br/ccivil_03/_ato2019-2022/2021/lei/L14133.htm" \l "art75"</w:instrText>
      </w:r>
      <w:r>
        <w:rPr>
          <w:rStyle w:val="ListLabel1"/>
          <w:sz w:val="20"/>
          <w:rFonts w:ascii="Verdana" w:hAnsi="Verdana"/>
          <w:color w:val="000000"/>
        </w:rPr>
        <w:fldChar w:fldCharType="separate"/>
      </w:r>
      <w:r>
        <w:rPr>
          <w:rStyle w:val="ListLabel1"/>
          <w:rFonts w:ascii="Verdana" w:hAnsi="Verdana"/>
          <w:color w:val="000000"/>
          <w:sz w:val="20"/>
        </w:rPr>
        <w:t>inciso II do art. 75 da Lei nº 14.133, de 2021</w:t>
      </w:r>
      <w:r>
        <w:rPr>
          <w:rStyle w:val="ListLabel1"/>
          <w:sz w:val="20"/>
          <w:rFonts w:ascii="Verdana" w:hAnsi="Verdana"/>
          <w:color w:val="000000"/>
        </w:rPr>
        <w:fldChar w:fldCharType="end"/>
      </w:r>
      <w:r>
        <w:rPr>
          <w:rFonts w:ascii="Verdana" w:hAnsi="Verdana"/>
          <w:color w:val="000000"/>
          <w:sz w:val="20"/>
        </w:rPr>
        <w:t>.</w:t>
      </w:r>
    </w:p>
    <w:p>
      <w:pPr>
        <w:pStyle w:val="Normal"/>
        <w:spacing w:lineRule="auto" w:line="276"/>
        <w:ind w:left="-22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8.3. Para fins de liquidação, o setor competente deverá verificar se a nota fiscal ou instrumento de cobrança equivalente apresentado expressa os elementos necessários e essenciais do documento, tais como: </w:t>
      </w:r>
    </w:p>
    <w:p>
      <w:pPr>
        <w:pStyle w:val="Normal"/>
        <w:tabs>
          <w:tab w:val="clear" w:pos="708"/>
          <w:tab w:val="left" w:pos="563" w:leader="none"/>
        </w:tabs>
        <w:spacing w:lineRule="auto" w:line="276"/>
        <w:ind w:left="432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- O prazo de validade;</w:t>
      </w:r>
    </w:p>
    <w:p>
      <w:pPr>
        <w:pStyle w:val="Normal"/>
        <w:tabs>
          <w:tab w:val="clear" w:pos="708"/>
          <w:tab w:val="left" w:pos="563" w:leader="none"/>
        </w:tabs>
        <w:spacing w:lineRule="auto" w:line="276"/>
        <w:ind w:left="432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- A data da emissão; </w:t>
      </w:r>
    </w:p>
    <w:p>
      <w:pPr>
        <w:pStyle w:val="Normal"/>
        <w:tabs>
          <w:tab w:val="clear" w:pos="708"/>
          <w:tab w:val="left" w:pos="563" w:leader="none"/>
        </w:tabs>
        <w:spacing w:lineRule="auto" w:line="276"/>
        <w:ind w:left="432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- Os dados do contrato e do órgão contratante; </w:t>
      </w:r>
    </w:p>
    <w:p>
      <w:pPr>
        <w:pStyle w:val="Normal"/>
        <w:tabs>
          <w:tab w:val="clear" w:pos="708"/>
          <w:tab w:val="left" w:pos="563" w:leader="none"/>
        </w:tabs>
        <w:spacing w:lineRule="auto" w:line="276"/>
        <w:ind w:left="432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- O período respectivo de execução do contrato; </w:t>
      </w:r>
    </w:p>
    <w:p>
      <w:pPr>
        <w:pStyle w:val="Normal"/>
        <w:tabs>
          <w:tab w:val="clear" w:pos="708"/>
          <w:tab w:val="left" w:pos="563" w:leader="none"/>
        </w:tabs>
        <w:spacing w:lineRule="auto" w:line="276"/>
        <w:ind w:left="432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- O valor a pagar; e </w:t>
      </w:r>
    </w:p>
    <w:p>
      <w:pPr>
        <w:pStyle w:val="Normal"/>
        <w:tabs>
          <w:tab w:val="clear" w:pos="708"/>
          <w:tab w:val="left" w:pos="563" w:leader="none"/>
        </w:tabs>
        <w:spacing w:lineRule="auto" w:line="276"/>
        <w:ind w:left="432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- Eventual destaque do valor de retenções tributárias cabíveis.</w:t>
      </w:r>
    </w:p>
    <w:p>
      <w:pPr>
        <w:pStyle w:val="Normal"/>
        <w:tabs>
          <w:tab w:val="clear" w:pos="708"/>
          <w:tab w:val="left" w:pos="563" w:leader="none"/>
        </w:tabs>
        <w:spacing w:lineRule="auto" w:line="276"/>
        <w:ind w:left="-22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8.4.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>
      <w:pPr>
        <w:pStyle w:val="Normal"/>
        <w:tabs>
          <w:tab w:val="clear" w:pos="708"/>
          <w:tab w:val="left" w:pos="109" w:leader="none"/>
        </w:tabs>
        <w:spacing w:lineRule="auto" w:line="276"/>
        <w:ind w:left="-22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8.5. A</w:t>
      </w:r>
      <w:r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>
        <w:rPr>
          <w:rStyle w:val="Hyperlink1"/>
          <w:rFonts w:ascii="Verdana" w:hAnsi="Verdana"/>
          <w:sz w:val="20"/>
          <w:lang w:eastAsia="en-US"/>
        </w:rPr>
        <w:t>.</w:t>
      </w:r>
    </w:p>
    <w:p>
      <w:pPr>
        <w:pStyle w:val="Normal"/>
        <w:spacing w:lineRule="auto" w:line="276"/>
        <w:ind w:left="-22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8.6. O pagamento será efetuado no prazo de até 30 (trinta) dias úteis contados da finalização da liquidação da despesa.</w:t>
      </w:r>
    </w:p>
    <w:p>
      <w:pPr>
        <w:pStyle w:val="Normal"/>
        <w:spacing w:lineRule="auto" w:line="276"/>
        <w:ind w:left="-22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8.7. O pagamento será realizado por meio de ordem bancária, para crédito em banco, agência e conta corrente indicados pelo contratado.</w:t>
      </w:r>
    </w:p>
    <w:p>
      <w:pPr>
        <w:pStyle w:val="Normal"/>
        <w:spacing w:lineRule="auto" w:line="276"/>
        <w:ind w:left="-22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8.8. Será considerada data do pagamento o dia em que constar como emitida a ordem bancária para pagamento.</w:t>
      </w:r>
    </w:p>
    <w:p>
      <w:pPr>
        <w:pStyle w:val="Normal"/>
        <w:spacing w:lineRule="auto" w:line="276"/>
        <w:ind w:left="-79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89. Quando do pagamento, será efetuada a retenção tributária prevista na legislação aplicável.</w:t>
      </w:r>
    </w:p>
    <w:p>
      <w:pPr>
        <w:pStyle w:val="Normal"/>
        <w:spacing w:lineRule="auto" w:line="276"/>
        <w:ind w:left="-79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  <w:lang w:eastAsia="en-US"/>
        </w:rPr>
        <w:t xml:space="preserve">8.10. O contratado regularmente optante pelo Simples Nacional, nos termos da </w:t>
      </w:r>
      <w:hyperlink r:id="rId3">
        <w:r>
          <w:rPr>
            <w:rStyle w:val="ListLabel2"/>
            <w:rFonts w:ascii="Verdana" w:hAnsi="Verdana"/>
            <w:sz w:val="20"/>
            <w:lang w:eastAsia="en-US"/>
          </w:rPr>
          <w:t>Lei Complementar nº 123, de 2006</w:t>
        </w:r>
      </w:hyperlink>
      <w:r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>
      <w:pPr>
        <w:pStyle w:val="Normal"/>
        <w:spacing w:lineRule="auto" w:line="276"/>
        <w:ind w:left="-79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  <w:lang w:eastAsia="en-US"/>
        </w:rPr>
        <w:t>8.11. Conforme Decreto Municipal nº 3.86/2023 será retido o Imposto de Renda na Fonte nos pagamentos efetuados por Órgãos, Autarquias e Fundações instituídas  e mantidas pelo Município de São Gabriel da Palha a pessoas jurídicas pelo fornecimento de bens e prestação de serviços.</w:t>
      </w:r>
    </w:p>
    <w:p>
      <w:pPr>
        <w:pStyle w:val="Normal"/>
        <w:spacing w:lineRule="auto" w:line="276"/>
        <w:ind w:left="-79"/>
        <w:jc w:val="both"/>
        <w:rPr>
          <w:rFonts w:ascii="Verdana" w:hAnsi="Verdana"/>
          <w:sz w:val="20"/>
        </w:rPr>
      </w:pPr>
      <w:r>
        <w:rPr>
          <w:rFonts w:eastAsia="Calibri" w:cs="Calibri" w:ascii="Verdana" w:hAnsi="Verdana"/>
          <w:color w:val="000000"/>
          <w:sz w:val="20"/>
        </w:rPr>
        <w:t xml:space="preserve">8.11. </w:t>
      </w:r>
      <w:r>
        <w:rPr>
          <w:rFonts w:ascii="Verdana" w:hAnsi="Verdana"/>
          <w:sz w:val="20"/>
        </w:rPr>
        <w:t xml:space="preserve"> Após o prazo acima referenciado, será paga multa financeira nos seguintes termos:</w:t>
      </w:r>
    </w:p>
    <w:p>
      <w:pPr>
        <w:pStyle w:val="ListParagraph"/>
        <w:tabs>
          <w:tab w:val="clear" w:pos="708"/>
          <w:tab w:val="left" w:pos="518" w:leader="none"/>
        </w:tabs>
        <w:ind w:left="0"/>
        <w:jc w:val="center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sz w:val="20"/>
          <w:szCs w:val="20"/>
        </w:rPr>
        <w:t xml:space="preserve">VM = VF </w:t>
      </w:r>
      <w:r>
        <w:rPr>
          <w:rFonts w:cs="Verdana" w:ascii="Verdana" w:hAnsi="Verdana"/>
          <w:sz w:val="20"/>
          <w:szCs w:val="20"/>
          <w:vertAlign w:val="subscript"/>
        </w:rPr>
        <w:t>*</w:t>
      </w:r>
      <w:r>
        <w:rPr>
          <w:rFonts w:cs="Verdana" w:ascii="Verdana" w:hAnsi="Verdana"/>
          <w:sz w:val="20"/>
          <w:szCs w:val="20"/>
        </w:rPr>
        <w:t xml:space="preserve"> </w:t>
      </w:r>
      <w:r>
        <w:rPr>
          <w:rFonts w:cs="Verdana" w:ascii="Verdana" w:hAnsi="Verdana"/>
          <w:sz w:val="20"/>
          <w:szCs w:val="20"/>
          <w:u w:val="single"/>
        </w:rPr>
        <w:t>0,33</w:t>
      </w:r>
      <w:r>
        <w:rPr>
          <w:rFonts w:cs="Verdana" w:ascii="Verdana" w:hAnsi="Verdana"/>
          <w:sz w:val="20"/>
          <w:szCs w:val="20"/>
        </w:rPr>
        <w:t xml:space="preserve"> </w:t>
      </w:r>
      <w:r>
        <w:rPr>
          <w:rFonts w:cs="Verdana" w:ascii="Verdana" w:hAnsi="Verdana"/>
          <w:sz w:val="20"/>
          <w:szCs w:val="20"/>
          <w:vertAlign w:val="subscript"/>
        </w:rPr>
        <w:t>*</w:t>
      </w:r>
      <w:r>
        <w:rPr>
          <w:rFonts w:cs="Verdana" w:ascii="Verdana" w:hAnsi="Verdana"/>
          <w:sz w:val="20"/>
          <w:szCs w:val="20"/>
        </w:rPr>
        <w:t xml:space="preserve"> ND</w:t>
      </w:r>
    </w:p>
    <w:p>
      <w:pPr>
        <w:pStyle w:val="ListParagraph"/>
        <w:tabs>
          <w:tab w:val="clear" w:pos="708"/>
          <w:tab w:val="left" w:pos="518" w:leader="none"/>
        </w:tabs>
        <w:ind w:left="0"/>
        <w:jc w:val="center"/>
        <w:rPr>
          <w:rFonts w:ascii="Verdana" w:hAnsi="Verdana"/>
          <w:sz w:val="20"/>
          <w:szCs w:val="20"/>
        </w:rPr>
      </w:pPr>
      <w:r>
        <w:rPr>
          <w:rFonts w:eastAsia="Verdana" w:cs="Verdana" w:ascii="Verdana" w:hAnsi="Verdana"/>
          <w:sz w:val="20"/>
          <w:szCs w:val="20"/>
        </w:rPr>
        <w:t xml:space="preserve">        </w:t>
      </w:r>
      <w:r>
        <w:rPr>
          <w:rFonts w:cs="Verdana" w:ascii="Verdana" w:hAnsi="Verdana"/>
          <w:sz w:val="20"/>
          <w:szCs w:val="20"/>
        </w:rPr>
        <w:t>100</w:t>
      </w:r>
    </w:p>
    <w:p>
      <w:pPr>
        <w:pStyle w:val="ListParagraph"/>
        <w:tabs>
          <w:tab w:val="clear" w:pos="708"/>
          <w:tab w:val="left" w:pos="518" w:leader="none"/>
        </w:tabs>
        <w:spacing w:lineRule="auto" w:line="240" w:before="0" w:after="0"/>
        <w:ind w:left="0"/>
        <w:contextualSpacing w:val="false"/>
        <w:jc w:val="both"/>
        <w:rPr>
          <w:rFonts w:ascii="Verdana" w:hAnsi="Verdana" w:cs="Arial;Arial"/>
          <w:color w:val="000000"/>
          <w:sz w:val="20"/>
        </w:rPr>
      </w:pPr>
      <w:r>
        <w:rPr>
          <w:rFonts w:cs="Arial;Arial" w:ascii="Verdana" w:hAnsi="Verdana"/>
          <w:color w:val="000000"/>
          <w:sz w:val="20"/>
        </w:rPr>
        <w:t xml:space="preserve">Onde: </w:t>
      </w:r>
    </w:p>
    <w:p>
      <w:pPr>
        <w:pStyle w:val="Normal"/>
        <w:suppressAutoHyphens w:val="false"/>
        <w:spacing w:lineRule="auto" w:line="240" w:before="0" w:after="0"/>
        <w:rPr>
          <w:rFonts w:ascii="Verdana" w:hAnsi="Verdana"/>
          <w:sz w:val="20"/>
        </w:rPr>
      </w:pPr>
      <w:r>
        <w:rPr>
          <w:rFonts w:cs="Arial;Arial" w:ascii="Verdana" w:hAnsi="Verdana"/>
          <w:color w:val="000000"/>
          <w:sz w:val="20"/>
        </w:rPr>
        <w:t xml:space="preserve">VM = Valor da Multa Financeira; </w:t>
      </w:r>
    </w:p>
    <w:p>
      <w:pPr>
        <w:pStyle w:val="Normal"/>
        <w:suppressAutoHyphens w:val="false"/>
        <w:spacing w:lineRule="auto" w:line="276"/>
        <w:rPr>
          <w:rFonts w:ascii="Verdana" w:hAnsi="Verdana"/>
          <w:sz w:val="20"/>
        </w:rPr>
      </w:pPr>
      <w:r>
        <w:rPr>
          <w:rFonts w:cs="Arial;Arial" w:ascii="Verdana" w:hAnsi="Verdana"/>
          <w:color w:val="000000"/>
          <w:sz w:val="20"/>
        </w:rPr>
        <w:t xml:space="preserve">VF = Valor da Nota Fiscal; </w:t>
      </w:r>
    </w:p>
    <w:p>
      <w:pPr>
        <w:pStyle w:val="ListParagraph"/>
        <w:tabs>
          <w:tab w:val="clear" w:pos="708"/>
          <w:tab w:val="left" w:pos="518" w:leader="none"/>
        </w:tabs>
        <w:ind w:left="0"/>
        <w:rPr>
          <w:rFonts w:ascii="Verdana" w:hAnsi="Verdana"/>
          <w:sz w:val="20"/>
          <w:szCs w:val="20"/>
        </w:rPr>
      </w:pPr>
      <w:r>
        <w:rPr>
          <w:rFonts w:eastAsia="Times New Roman" w:cs="Arial;Arial" w:ascii="Verdana" w:hAnsi="Verdana"/>
          <w:color w:val="000000"/>
          <w:sz w:val="20"/>
          <w:szCs w:val="20"/>
        </w:rPr>
        <w:t>ND = Número de dias em atraso.</w:t>
      </w:r>
    </w:p>
    <w:p>
      <w:pPr>
        <w:pStyle w:val="Normal"/>
        <w:suppressAutoHyphens w:val="false"/>
        <w:spacing w:lineRule="auto" w:line="276"/>
        <w:jc w:val="both"/>
        <w:rPr>
          <w:rFonts w:ascii="Verdana" w:hAnsi="Verdana"/>
          <w:sz w:val="20"/>
        </w:rPr>
      </w:pPr>
      <w:r>
        <w:rPr>
          <w:rFonts w:cs="Arial;Arial" w:ascii="Verdana" w:hAnsi="Verdana"/>
          <w:color w:val="000000"/>
          <w:sz w:val="20"/>
        </w:rPr>
        <w:t>8.12. A NOTA FISCAL ELETRÔNICA deverá conter o mesmo CNPJ e razão social apresentados quando na proposta, assim como, o número da contratação, o (s) objeto (s), os valores unitários e totais.</w:t>
      </w:r>
    </w:p>
    <w:p>
      <w:pPr>
        <w:pStyle w:val="Normal"/>
        <w:suppressAutoHyphens w:val="false"/>
        <w:spacing w:lineRule="auto" w:line="276"/>
        <w:jc w:val="both"/>
        <w:rPr>
          <w:rFonts w:ascii="Verdana" w:hAnsi="Verdana"/>
          <w:sz w:val="20"/>
        </w:rPr>
      </w:pPr>
      <w:r>
        <w:rPr>
          <w:rFonts w:cs="Arial;Arial" w:ascii="Verdana" w:hAnsi="Verdana"/>
          <w:color w:val="000000"/>
          <w:sz w:val="20"/>
        </w:rPr>
        <w:t xml:space="preserve">8.13. Qualquer alteração feita no contrato social, ato constitutivo ou estatuto deverá ser comunicado ao CONTRATANTE, mediante documentação própria, para apreciação da autoridade competente. </w:t>
      </w:r>
    </w:p>
    <w:p>
      <w:pPr>
        <w:pStyle w:val="Normal"/>
        <w:suppressAutoHyphens w:val="false"/>
        <w:spacing w:lineRule="auto" w:line="276"/>
        <w:jc w:val="both"/>
        <w:rPr>
          <w:rFonts w:ascii="Verdana" w:hAnsi="Verdana"/>
          <w:sz w:val="20"/>
        </w:rPr>
      </w:pPr>
      <w:r>
        <w:rPr>
          <w:rFonts w:cs="Arial;Arial" w:ascii="Verdana" w:hAnsi="Verdana"/>
          <w:color w:val="000000"/>
          <w:sz w:val="20"/>
        </w:rPr>
        <w:t>8.14. O CONTRATANTE poderá deduzir do pagamento importâncias que a qualquer título lhe forem devidos pela empresa CONTRATADA, em decorrência de descumprimento de suas obrigações.</w:t>
      </w:r>
    </w:p>
    <w:p>
      <w:pPr>
        <w:pStyle w:val="Default"/>
        <w:spacing w:lineRule="auto" w:line="276"/>
        <w:ind w:left="-22"/>
        <w:jc w:val="both"/>
        <w:rPr>
          <w:rFonts w:ascii="Verdana" w:hAnsi="Verdana"/>
          <w:sz w:val="20"/>
          <w:szCs w:val="20"/>
        </w:rPr>
      </w:pPr>
      <w:r>
        <w:rPr>
          <w:rFonts w:cs="Arial;Arial" w:ascii="Verdana" w:hAnsi="Verdana"/>
          <w:sz w:val="20"/>
          <w:szCs w:val="20"/>
        </w:rPr>
        <w:t xml:space="preserve">8.15. </w:t>
      </w:r>
      <w:r>
        <w:rPr>
          <w:rFonts w:cs="Arial;Arial" w:ascii="Verdana" w:hAnsi="Verdana"/>
          <w:sz w:val="20"/>
          <w:szCs w:val="20"/>
          <w:lang w:eastAsia="en-US"/>
        </w:rPr>
        <w:t xml:space="preserve">Para a efetivação do pagamento, a CONTRATADA deverá manter as mesmas </w:t>
      </w:r>
      <w:r>
        <w:rPr>
          <w:rFonts w:cs="Arial;Arial" w:ascii="Verdana" w:hAnsi="Verdana"/>
          <w:sz w:val="20"/>
          <w:szCs w:val="20"/>
          <w:lang w:eastAsia="pt-BR"/>
        </w:rPr>
        <w:t>condições relativas à proposta de preço e a habilitação;</w:t>
      </w:r>
    </w:p>
    <w:p>
      <w:pPr>
        <w:pStyle w:val="Default"/>
        <w:spacing w:lineRule="auto" w:line="276"/>
        <w:ind w:left="-22"/>
        <w:jc w:val="both"/>
        <w:rPr>
          <w:rFonts w:ascii="Verdana" w:hAnsi="Verdana" w:cs="Arial;Arial"/>
          <w:sz w:val="20"/>
          <w:szCs w:val="20"/>
          <w:lang w:eastAsia="pt-BR"/>
        </w:rPr>
      </w:pPr>
      <w:r>
        <w:rPr>
          <w:rFonts w:cs="Arial;Arial" w:ascii="Verdana" w:hAnsi="Verdana"/>
          <w:sz w:val="20"/>
          <w:szCs w:val="20"/>
          <w:lang w:eastAsia="pt-BR"/>
        </w:rPr>
      </w:r>
    </w:p>
    <w:p>
      <w:pPr>
        <w:pStyle w:val="Normal"/>
        <w:spacing w:lineRule="auto" w:line="276"/>
        <w:jc w:val="both"/>
        <w:rPr>
          <w:rFonts w:ascii="Verdana" w:hAnsi="Verdana"/>
          <w:b/>
          <w:bCs/>
          <w:sz w:val="20"/>
        </w:rPr>
      </w:pPr>
      <w:r>
        <w:rPr>
          <w:rFonts w:ascii="Verdana" w:hAnsi="Verdana"/>
          <w:b/>
          <w:bCs/>
          <w:iCs/>
          <w:sz w:val="20"/>
        </w:rPr>
        <w:t>9. DAS SANÇÕES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>9.1. Comete infração administrativa o fornecedor/prestador de serviço que cometer quaisquer das infrações previstas no art. 155 da Lei nº 14.133, de 2021, quais sejam: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>9.1.1. Dar causa à inexecução parcial do contrato.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>9.1.2. Dar causa à inexecução parcial que cause grave dano à Administração, ao funcionamento dos serviços públicos ou ao interesse coletivo.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>9.1.3. Dar causa à inexecução total;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>9.1.4. Deixar de entregar a documentação exigida para o certame.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>9.1.5. Não manter a proposta, salvo em decorrência de fato superveniente devidamente justificado.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 xml:space="preserve">9.1.6. Não celebrar o contrato ou não entregar a documentação exigida para a contratação, quando convocado dentro do prazo de validade de sua proposta. 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>9.1.7. Ensejar o retardamento da execução ou da entrega do objeto sem motivo justificado,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>9.1.8. Apresentar declaração ou documentação falsa exigida para o certame ou prestar declaração falsa durante a licitação ou a execução do objeto.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>9.1.9. Fraudar a licitação ou praticar ato fraudulento na execução do objeto.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>9.1.10. Comportar-se de modo inidôneo ou cometer fraude de qualquer natureza.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>9.1.10.1. Considera-se comportamento inidôneo, entre outros, a declaração falsa quanto às condições de participação, quanto ao enquadramento como ME/EPP ou o conluio entre os fornecedores, em qualquer momento da licitação, mesmo após o encerramento da fase de lances.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>9.1.11. Praticar atos ilícitos com vistas a frustrar os objetivos deste certame.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>9.1.12. Praticar ato lesivo previsto no art. 5º da Lei nº 12.846, de 1º de agosto de 2013.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>9.2. O fornecedor que cometer qualquer das infrações discriminadas nos subitens anteriores ficará sujeito, sem prejuízo da responsabilidade civil e criminal, às seguintes sanções: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 xml:space="preserve">         </w:t>
      </w:r>
      <w:r>
        <w:rPr>
          <w:rFonts w:ascii="Verdana" w:hAnsi="Verdana"/>
          <w:iCs/>
          <w:sz w:val="20"/>
        </w:rPr>
        <w:t>a) Advertência pela falta do subitem 9.1.1 deste Termo de Referência, quando não se justificar a imposição de penalidade mais grave.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hanging="0" w:left="0" w:right="0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ab/>
        <w:t xml:space="preserve">b) Multa, calculada na forma do edital, com base no total do valor da contratação realizada de forma direta e será aplicada ao responsável por qualquer das infrações administrativas previstas no item 8.1 deste Termo de Referência, no percentual de 10% (dez por cento), na hipótese de cometimento das infrações previstas nos itens 9.1.1 a 9.1.7 e 20% (vinte por cento), se cometidas infrações previstas nos itens 9.1.8 a 9.1.12; 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ab/>
        <w:tab/>
        <w:t>b.1) O valor da multa poderá ser descontado das faturas devidas à CONTRATADA;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ab/>
        <w:tab/>
        <w:t xml:space="preserve">b.2) A multa pode ser aplicada isoladamente ou juntamente com as penalidades definidas nos itens “c” e “d” abaixo: 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>c) Impedimento de licitar e contratar no âmbito da Administração Pública direta e indireta do ente federativo que tiver aplicado a sanção, pelo prazo máximo de 03 (três) anos, nos casos dos subitens 9.1.2 a 9.1.7 deste Termo de Referência, quando não se justificar a imposição de penalidade mais grave.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8.1.2 a 8.1.12, deste Termo de Referência.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>9.3. Na aplicação das sanções serão considerados: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>9.3.1. A natureza e a gravidade da infração cometida.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>9.3.2. As peculiaridades do caso concreto.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>9.3.3. As circunstâncias agravantes ou atenuantes.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>9.3.4. Os danos que dela provierem para a Administração Pública.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>9.3.5. A implantação ou o aperfeiçoamento de programa de integridade, conforme normas e orientações dos órgãos de controle.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>9.4.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iCs/>
          <w:sz w:val="20"/>
        </w:rPr>
        <w:t>9.5.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>
      <w:pPr>
        <w:pStyle w:val="Normal"/>
        <w:spacing w:lineRule="auto" w:line="276"/>
        <w:jc w:val="both"/>
        <w:rPr>
          <w:rFonts w:ascii="Verdana" w:hAnsi="Verdana"/>
          <w:iCs/>
          <w:sz w:val="20"/>
        </w:rPr>
      </w:pPr>
      <w:r>
        <w:rPr>
          <w:rFonts w:ascii="Verdana" w:hAnsi="Verdana"/>
          <w:iCs/>
          <w:sz w:val="20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bCs/>
          <w:sz w:val="20"/>
        </w:rPr>
        <w:t xml:space="preserve">10. ADEQUAÇÃO ORÇAMENTÁRIA 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10.1.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FICHA – FONTE: 00592-15530000000 no valor de R$ 75.780,00 (setenta e cinco mil setecentos e oitenta reais).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</w:r>
    </w:p>
    <w:p>
      <w:pPr>
        <w:pStyle w:val="Normal"/>
        <w:spacing w:lineRule="auto" w:line="276"/>
        <w:jc w:val="both"/>
        <w:rPr>
          <w:rFonts w:ascii="Verdana" w:hAnsi="Verdana" w:cs="Arial"/>
          <w:b/>
          <w:sz w:val="20"/>
          <w:u w:val="single"/>
        </w:rPr>
      </w:pPr>
      <w:r>
        <w:rPr>
          <w:rFonts w:cs="Arial" w:ascii="Verdana" w:hAnsi="Verdana"/>
          <w:b/>
          <w:bCs/>
          <w:color w:val="000000"/>
          <w:sz w:val="20"/>
        </w:rPr>
        <w:t>11. DOS RESPONSÁVEIS PELA ELABORAÇÃO DO TERMO DE REFERÊNCIA</w:t>
      </w:r>
    </w:p>
    <w:p>
      <w:pPr>
        <w:pStyle w:val="Normal"/>
        <w:spacing w:lineRule="auto" w:line="276"/>
        <w:jc w:val="both"/>
        <w:rPr>
          <w:rFonts w:ascii="Verdana" w:hAnsi="Verdana" w:cs="Arial"/>
          <w:color w:val="000000"/>
          <w:sz w:val="20"/>
        </w:rPr>
      </w:pPr>
      <w:r>
        <w:rPr>
          <w:rFonts w:cs="Arial" w:ascii="Verdana" w:hAnsi="Verdana"/>
          <w:color w:val="000000"/>
          <w:sz w:val="20"/>
        </w:rPr>
        <w:t>11.1. A compilação de parte das informações mencionados na elaboração deste Termo de Referência foram estruturadas através do ETP – Estudo Técnico Preliminar elaborado pela secretaria requisitante.</w:t>
      </w:r>
    </w:p>
    <w:p>
      <w:pPr>
        <w:pStyle w:val="Normal"/>
        <w:spacing w:lineRule="auto" w:line="276"/>
        <w:jc w:val="both"/>
        <w:rPr>
          <w:rFonts w:ascii="Verdana" w:hAnsi="Verdana" w:cs="Arial"/>
          <w:color w:val="000000"/>
          <w:sz w:val="20"/>
        </w:rPr>
      </w:pPr>
      <w:r>
        <w:rPr>
          <w:rFonts w:cs="Arial" w:ascii="Verdana" w:hAnsi="Verdana"/>
          <w:b/>
          <w:sz w:val="20"/>
          <w:u w:val="single"/>
        </w:rPr>
      </w:r>
    </w:p>
    <w:p>
      <w:pPr>
        <w:pStyle w:val="Normal"/>
        <w:spacing w:lineRule="auto" w:line="276"/>
        <w:jc w:val="right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São Gabriel da Palha, 06 de </w:t>
      </w:r>
      <w:r>
        <w:rPr>
          <w:rFonts w:ascii="Verdana" w:hAnsi="Verdana"/>
          <w:color w:val="000000"/>
          <w:sz w:val="20"/>
        </w:rPr>
        <w:t>agosto</w:t>
      </w:r>
      <w:r>
        <w:rPr>
          <w:rFonts w:ascii="Verdana" w:hAnsi="Verdana"/>
          <w:sz w:val="20"/>
        </w:rPr>
        <w:t xml:space="preserve"> de 2024</w:t>
      </w:r>
    </w:p>
    <w:p>
      <w:pPr>
        <w:pStyle w:val="Normal"/>
        <w:spacing w:lineRule="auto" w:line="276"/>
        <w:jc w:val="right"/>
        <w:rPr>
          <w:rFonts w:ascii="Verdana" w:hAnsi="Verdana" w:cs="Arial"/>
          <w:b/>
          <w:bCs/>
          <w:sz w:val="20"/>
          <w:shd w:fill="FFFF00" w:val="clear"/>
        </w:rPr>
      </w:pPr>
      <w:r>
        <w:rPr>
          <w:rFonts w:ascii="Verdana" w:hAnsi="Verdana"/>
          <w:sz w:val="20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bookmarkStart w:id="2" w:name="_GoBack1"/>
      <w:bookmarkEnd w:id="2"/>
      <w:r>
        <w:rPr>
          <w:rFonts w:cs="Arial" w:ascii="Verdana" w:hAnsi="Verdana"/>
          <w:b/>
          <w:bCs/>
          <w:sz w:val="20"/>
        </w:rPr>
        <w:t>Elaborado por:</w:t>
      </w:r>
    </w:p>
    <w:p>
      <w:pPr>
        <w:pStyle w:val="Normal"/>
        <w:spacing w:lineRule="auto" w:line="276"/>
        <w:jc w:val="both"/>
        <w:rPr>
          <w:rFonts w:ascii="Verdana" w:hAnsi="Verdana" w:cs="Arial"/>
          <w:b/>
          <w:bCs/>
          <w:sz w:val="20"/>
        </w:rPr>
      </w:pPr>
      <w:r>
        <w:rPr>
          <w:rFonts w:cs="Arial" w:ascii="Verdana" w:hAnsi="Verdana"/>
          <w:b/>
          <w:bCs/>
          <w:sz w:val="20"/>
        </w:rPr>
      </w:r>
    </w:p>
    <w:p>
      <w:pPr>
        <w:sectPr>
          <w:headerReference w:type="default" r:id="rId4"/>
          <w:footerReference w:type="default" r:id="rId5"/>
          <w:type w:val="nextPage"/>
          <w:pgSz w:w="11906" w:h="16838"/>
          <w:pgMar w:left="1550" w:right="905" w:gutter="0" w:header="227" w:top="851" w:footer="567" w:bottom="851"/>
          <w:pgNumType w:fmt="decimal"/>
          <w:formProt w:val="false"/>
          <w:textDirection w:val="lrTb"/>
          <w:docGrid w:type="default" w:linePitch="326" w:charSpace="0"/>
        </w:sectPr>
      </w:pPr>
    </w:p>
    <w:p>
      <w:pPr>
        <w:pStyle w:val="Normal"/>
        <w:spacing w:lineRule="auto" w:line="276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RODOLFO ANTÔNIO DA SILVA NETO</w:t>
      </w:r>
    </w:p>
    <w:p>
      <w:pPr>
        <w:pStyle w:val="Normal"/>
        <w:spacing w:lineRule="auto" w:line="276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Auxiliar Administrativo</w:t>
      </w:r>
    </w:p>
    <w:p>
      <w:pPr>
        <w:pStyle w:val="Normal"/>
        <w:spacing w:lineRule="auto" w:line="276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Mat nº 000406</w:t>
      </w:r>
    </w:p>
    <w:p>
      <w:pPr>
        <w:pStyle w:val="Normal"/>
        <w:spacing w:lineRule="auto" w:line="276"/>
        <w:rPr>
          <w:rFonts w:ascii="Verdana" w:hAnsi="Verdana"/>
          <w:sz w:val="20"/>
        </w:rPr>
      </w:pPr>
      <w:r>
        <w:rPr/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cs="Arial" w:ascii="Verdana" w:hAnsi="Verdana"/>
          <w:sz w:val="20"/>
        </w:rPr>
        <w:t>RUTH BARBARA DA SILWA NASCIMENTO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cs="Arial" w:ascii="Verdana" w:hAnsi="Verdana"/>
          <w:sz w:val="20"/>
        </w:rPr>
        <w:t>Assistente Administrativo</w:t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cs="Arial" w:ascii="Verdana" w:hAnsi="Verdana"/>
          <w:sz w:val="20"/>
        </w:rPr>
        <w:t xml:space="preserve"> </w:t>
      </w:r>
      <w:r>
        <w:rPr>
          <w:rFonts w:cs="Arial" w:ascii="Verdana" w:hAnsi="Verdana"/>
          <w:sz w:val="20"/>
        </w:rPr>
        <w:t>Mat. nº 002983</w:t>
      </w:r>
    </w:p>
    <w:p>
      <w:pPr>
        <w:sectPr>
          <w:type w:val="continuous"/>
          <w:pgSz w:w="11906" w:h="16838"/>
          <w:pgMar w:left="1550" w:right="905" w:gutter="0" w:header="227" w:top="851" w:footer="567" w:bottom="851"/>
          <w:cols w:num="2" w:space="282" w:equalWidth="true" w:sep="false"/>
          <w:formProt w:val="false"/>
          <w:textDirection w:val="lrTb"/>
          <w:docGrid w:type="default" w:linePitch="326" w:charSpace="0"/>
        </w:sectPr>
      </w:pPr>
    </w:p>
    <w:p>
      <w:pPr>
        <w:pStyle w:val="Normal"/>
        <w:spacing w:lineRule="auto" w:line="276"/>
        <w:jc w:val="center"/>
        <w:rPr>
          <w:rFonts w:ascii="Verdana" w:hAnsi="Verdana"/>
          <w:b/>
          <w:bCs/>
          <w:sz w:val="44"/>
          <w:szCs w:val="44"/>
        </w:rPr>
      </w:pPr>
      <w:r>
        <w:rPr/>
      </w:r>
    </w:p>
    <w:p>
      <w:pPr>
        <w:pStyle w:val="Normal"/>
        <w:spacing w:lineRule="auto" w:line="276"/>
        <w:jc w:val="center"/>
        <w:rPr>
          <w:rFonts w:ascii="Verdana" w:hAnsi="Verdana"/>
          <w:b/>
          <w:bCs/>
          <w:sz w:val="44"/>
          <w:szCs w:val="44"/>
        </w:rPr>
      </w:pPr>
      <w:r>
        <w:rPr/>
      </w:r>
    </w:p>
    <w:p>
      <w:pPr>
        <w:pStyle w:val="Normal"/>
        <w:spacing w:lineRule="auto" w:line="276"/>
        <w:jc w:val="center"/>
        <w:rPr>
          <w:rFonts w:ascii="Verdana" w:hAnsi="Verdana"/>
          <w:b/>
          <w:bCs/>
          <w:sz w:val="44"/>
          <w:szCs w:val="44"/>
        </w:rPr>
      </w:pPr>
      <w:r>
        <w:rPr/>
      </w:r>
    </w:p>
    <w:p>
      <w:pPr>
        <w:pStyle w:val="Normal"/>
        <w:spacing w:lineRule="auto" w:line="276"/>
        <w:jc w:val="center"/>
        <w:rPr>
          <w:rFonts w:ascii="Verdana" w:hAnsi="Verdana"/>
          <w:b/>
          <w:bCs/>
          <w:sz w:val="44"/>
          <w:szCs w:val="44"/>
        </w:rPr>
      </w:pPr>
      <w:r>
        <w:rPr/>
      </w:r>
    </w:p>
    <w:p>
      <w:pPr>
        <w:pStyle w:val="Normal"/>
        <w:spacing w:lineRule="auto" w:line="276"/>
        <w:jc w:val="center"/>
        <w:rPr>
          <w:rFonts w:ascii="Verdana" w:hAnsi="Verdana"/>
          <w:b/>
          <w:bCs/>
          <w:sz w:val="44"/>
          <w:szCs w:val="44"/>
        </w:rPr>
      </w:pPr>
      <w:r>
        <w:rPr/>
      </w:r>
    </w:p>
    <w:p>
      <w:pPr>
        <w:pStyle w:val="Normal"/>
        <w:spacing w:lineRule="auto" w:line="276"/>
        <w:jc w:val="center"/>
        <w:rPr>
          <w:rFonts w:ascii="Verdana" w:hAnsi="Verdana"/>
          <w:b/>
          <w:bCs/>
          <w:sz w:val="44"/>
          <w:szCs w:val="44"/>
        </w:rPr>
      </w:pPr>
      <w:r>
        <w:rPr/>
      </w:r>
    </w:p>
    <w:p>
      <w:pPr>
        <w:pStyle w:val="Normal"/>
        <w:spacing w:lineRule="auto" w:line="276"/>
        <w:jc w:val="center"/>
        <w:rPr>
          <w:rFonts w:ascii="Verdana" w:hAnsi="Verdana"/>
          <w:b/>
          <w:bCs/>
          <w:sz w:val="44"/>
          <w:szCs w:val="44"/>
        </w:rPr>
      </w:pPr>
      <w:r>
        <w:rPr/>
      </w:r>
    </w:p>
    <w:p>
      <w:pPr>
        <w:pStyle w:val="Normal"/>
        <w:spacing w:lineRule="auto" w:line="276"/>
        <w:jc w:val="center"/>
        <w:rPr>
          <w:rFonts w:ascii="Verdana" w:hAnsi="Verdana"/>
          <w:b/>
          <w:bCs/>
          <w:sz w:val="44"/>
          <w:szCs w:val="44"/>
        </w:rPr>
      </w:pPr>
      <w:r>
        <w:rPr/>
      </w:r>
    </w:p>
    <w:p>
      <w:pPr>
        <w:pStyle w:val="Normal"/>
        <w:spacing w:lineRule="auto" w:line="276"/>
        <w:jc w:val="center"/>
        <w:rPr>
          <w:rFonts w:ascii="Verdana" w:hAnsi="Verdana"/>
          <w:b/>
          <w:bCs/>
          <w:sz w:val="44"/>
          <w:szCs w:val="44"/>
        </w:rPr>
      </w:pPr>
      <w:r>
        <w:rPr/>
      </w:r>
    </w:p>
    <w:p>
      <w:pPr>
        <w:pStyle w:val="Normal"/>
        <w:spacing w:lineRule="auto" w:line="276"/>
        <w:jc w:val="center"/>
        <w:rPr>
          <w:rFonts w:ascii="Verdana" w:hAnsi="Verdana"/>
          <w:b/>
          <w:bCs/>
          <w:sz w:val="44"/>
          <w:szCs w:val="44"/>
        </w:rPr>
      </w:pPr>
      <w:r>
        <w:rPr/>
      </w:r>
    </w:p>
    <w:p>
      <w:pPr>
        <w:pStyle w:val="Normal"/>
        <w:spacing w:lineRule="auto" w:line="276"/>
        <w:jc w:val="center"/>
        <w:rPr>
          <w:rFonts w:ascii="Verdana" w:hAnsi="Verdana"/>
          <w:b/>
          <w:bCs/>
          <w:sz w:val="44"/>
          <w:szCs w:val="44"/>
        </w:rPr>
      </w:pPr>
      <w:r>
        <w:rPr/>
      </w:r>
    </w:p>
    <w:p>
      <w:pPr>
        <w:pStyle w:val="Normal"/>
        <w:spacing w:lineRule="auto" w:line="276"/>
        <w:jc w:val="center"/>
        <w:rPr>
          <w:rFonts w:ascii="Verdana" w:hAnsi="Verdana"/>
          <w:b/>
          <w:bCs/>
          <w:sz w:val="44"/>
          <w:szCs w:val="44"/>
        </w:rPr>
      </w:pPr>
      <w:r>
        <w:rPr/>
      </w:r>
    </w:p>
    <w:p>
      <w:pPr>
        <w:pStyle w:val="Normal"/>
        <w:spacing w:lineRule="auto" w:line="276"/>
        <w:jc w:val="center"/>
        <w:rPr>
          <w:rFonts w:ascii="Verdana" w:hAnsi="Verdana"/>
          <w:b/>
          <w:bCs/>
          <w:sz w:val="44"/>
          <w:szCs w:val="44"/>
        </w:rPr>
      </w:pPr>
      <w:r>
        <w:rPr/>
      </w:r>
    </w:p>
    <w:p>
      <w:pPr>
        <w:pStyle w:val="Normal"/>
        <w:spacing w:lineRule="auto" w:line="276"/>
        <w:jc w:val="center"/>
        <w:rPr>
          <w:rFonts w:ascii="Verdana" w:hAnsi="Verdana"/>
          <w:b/>
          <w:bCs/>
          <w:sz w:val="44"/>
          <w:szCs w:val="44"/>
        </w:rPr>
      </w:pPr>
      <w:r>
        <w:rPr/>
      </w:r>
    </w:p>
    <w:p>
      <w:pPr>
        <w:pStyle w:val="Normal"/>
        <w:spacing w:lineRule="auto" w:line="276"/>
        <w:jc w:val="center"/>
        <w:rPr>
          <w:rFonts w:ascii="Verdana" w:hAnsi="Verdana"/>
          <w:b/>
          <w:bCs/>
          <w:sz w:val="44"/>
          <w:szCs w:val="44"/>
        </w:rPr>
      </w:pPr>
      <w:r>
        <w:rPr/>
      </w:r>
    </w:p>
    <w:p>
      <w:pPr>
        <w:pStyle w:val="Normal"/>
        <w:spacing w:lineRule="auto" w:line="276"/>
        <w:jc w:val="center"/>
        <w:rPr>
          <w:rFonts w:ascii="Verdana" w:hAnsi="Verdana"/>
          <w:b/>
          <w:bCs/>
          <w:sz w:val="44"/>
          <w:szCs w:val="44"/>
        </w:rPr>
      </w:pPr>
      <w:r>
        <w:rPr/>
      </w:r>
    </w:p>
    <w:p>
      <w:pPr>
        <w:pStyle w:val="Normal"/>
        <w:spacing w:lineRule="auto" w:line="276"/>
        <w:jc w:val="center"/>
        <w:rPr>
          <w:rFonts w:ascii="Verdana" w:hAnsi="Verdana"/>
          <w:b/>
          <w:bCs/>
          <w:sz w:val="44"/>
          <w:szCs w:val="44"/>
        </w:rPr>
      </w:pPr>
      <w:r>
        <w:rPr/>
      </w:r>
    </w:p>
    <w:p>
      <w:pPr>
        <w:pStyle w:val="Normal"/>
        <w:spacing w:lineRule="auto" w:line="276"/>
        <w:jc w:val="center"/>
        <w:rPr>
          <w:rFonts w:ascii="Verdana" w:hAnsi="Verdana"/>
          <w:b/>
          <w:bCs/>
          <w:sz w:val="44"/>
          <w:szCs w:val="44"/>
        </w:rPr>
      </w:pPr>
      <w:r>
        <w:rPr/>
      </w:r>
    </w:p>
    <w:p>
      <w:pPr>
        <w:pStyle w:val="Normal"/>
        <w:spacing w:lineRule="auto" w:line="276"/>
        <w:jc w:val="center"/>
        <w:rPr>
          <w:rFonts w:ascii="Verdana" w:hAnsi="Verdana"/>
          <w:b/>
          <w:bCs/>
          <w:sz w:val="44"/>
          <w:szCs w:val="44"/>
        </w:rPr>
      </w:pPr>
      <w:bookmarkStart w:id="3" w:name="art1161"/>
      <w:bookmarkEnd w:id="3"/>
      <w:r>
        <w:rPr>
          <w:rFonts w:ascii="Verdana" w:hAnsi="Verdana"/>
          <w:b/>
          <w:bCs/>
          <w:sz w:val="44"/>
          <w:szCs w:val="44"/>
        </w:rPr>
        <w:t>ANEXOS</w:t>
      </w:r>
    </w:p>
    <w:p>
      <w:pPr>
        <w:pStyle w:val="Normal"/>
        <w:spacing w:lineRule="auto" w:line="276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p>
      <w:pPr>
        <w:pStyle w:val="Normal"/>
        <w:spacing w:lineRule="auto" w:line="276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p>
      <w:pPr>
        <w:pStyle w:val="Normal"/>
        <w:spacing w:lineRule="auto" w:line="276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p>
      <w:pPr>
        <w:pStyle w:val="Normal"/>
        <w:spacing w:lineRule="auto" w:line="276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p>
      <w:pPr>
        <w:pStyle w:val="Normal"/>
        <w:spacing w:lineRule="auto" w:line="276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p>
      <w:pPr>
        <w:pStyle w:val="Normal"/>
        <w:spacing w:lineRule="auto" w:line="276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p>
      <w:pPr>
        <w:pStyle w:val="Normal"/>
        <w:spacing w:lineRule="auto" w:line="276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p>
      <w:pPr>
        <w:pStyle w:val="Normal"/>
        <w:spacing w:lineRule="auto" w:line="276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p>
      <w:pPr>
        <w:pStyle w:val="Normal"/>
        <w:spacing w:lineRule="auto" w:line="276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p>
      <w:pPr>
        <w:pStyle w:val="Normal"/>
        <w:spacing w:lineRule="auto" w:line="276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p>
      <w:pPr>
        <w:pStyle w:val="Normal"/>
        <w:spacing w:lineRule="auto" w:line="276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p>
      <w:pPr>
        <w:pStyle w:val="Normal"/>
        <w:spacing w:lineRule="auto" w:line="276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p>
      <w:pPr>
        <w:pStyle w:val="Normal"/>
        <w:spacing w:lineRule="auto" w:line="276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p>
      <w:pPr>
        <w:pStyle w:val="Normal"/>
        <w:spacing w:lineRule="auto" w:line="276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p>
      <w:pPr>
        <w:pStyle w:val="Normal"/>
        <w:spacing w:lineRule="auto" w:line="276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p>
      <w:pPr>
        <w:pStyle w:val="Normal"/>
        <w:spacing w:lineRule="auto" w:line="276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p>
      <w:pPr>
        <w:pStyle w:val="Normal"/>
        <w:spacing w:lineRule="auto" w:line="276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p>
      <w:pPr>
        <w:pStyle w:val="Normal"/>
        <w:spacing w:lineRule="auto" w:line="276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p>
      <w:pPr>
        <w:pStyle w:val="Normal"/>
        <w:spacing w:lineRule="auto" w:line="276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p>
      <w:pPr>
        <w:pStyle w:val="Normal"/>
        <w:spacing w:lineRule="auto" w:line="276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p>
      <w:pPr>
        <w:pStyle w:val="Normal"/>
        <w:spacing w:lineRule="auto" w:line="276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p>
      <w:pPr>
        <w:pStyle w:val="Normal"/>
        <w:spacing w:lineRule="auto" w:line="276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p>
      <w:pPr>
        <w:pStyle w:val="Normal"/>
        <w:spacing w:lineRule="auto" w:line="276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p>
      <w:pPr>
        <w:pStyle w:val="Normal"/>
        <w:spacing w:lineRule="auto" w:line="276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p>
      <w:pPr>
        <w:pStyle w:val="Normal"/>
        <w:spacing w:lineRule="auto" w:line="276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p>
      <w:pPr>
        <w:pStyle w:val="Normal"/>
        <w:spacing w:lineRule="auto" w:line="276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p>
      <w:pPr>
        <w:pStyle w:val="Normal"/>
        <w:spacing w:lineRule="auto" w:line="276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p>
      <w:pPr>
        <w:pStyle w:val="Normal"/>
        <w:spacing w:lineRule="auto" w:line="276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p>
      <w:pPr>
        <w:pStyle w:val="Normal"/>
        <w:spacing w:lineRule="auto" w:line="276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p>
      <w:pPr>
        <w:pStyle w:val="Normal"/>
        <w:spacing w:lineRule="auto" w:line="276"/>
        <w:jc w:val="center"/>
        <w:rPr>
          <w:rFonts w:ascii="Verdana" w:hAnsi="Verdana"/>
          <w:b/>
          <w:sz w:val="20"/>
        </w:rPr>
      </w:pPr>
      <w:r>
        <w:rPr/>
      </w:r>
    </w:p>
    <w:p>
      <w:pPr>
        <w:pStyle w:val="Normal"/>
        <w:spacing w:lineRule="auto" w:line="276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PLANILHA DE CUSTO</w:t>
      </w:r>
    </w:p>
    <w:p>
      <w:pPr>
        <w:pStyle w:val="Normal"/>
        <w:spacing w:lineRule="auto" w:line="276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p>
      <w:pPr>
        <w:pStyle w:val="Normal"/>
        <w:spacing w:lineRule="auto" w:line="276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LEVANTAMENTO DE CUSTOS PARA PRESTAÇÃO DE SERVIÇOS DE INSPEÇÃO TÉCNICA DE SEGURANÇA VEICULAR, PARA RENOVAÇÃO DOS TERMOS DE AUTORIZAÇÃO ESCOLAR</w:t>
      </w:r>
    </w:p>
    <w:p>
      <w:pPr>
        <w:pStyle w:val="Normal"/>
        <w:spacing w:lineRule="auto" w:line="276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p>
      <w:pPr>
        <w:pStyle w:val="Normal"/>
        <w:spacing w:lineRule="auto" w:line="276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p>
      <w:pPr>
        <w:pStyle w:val="Normal"/>
        <w:spacing w:lineRule="auto" w:line="276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tbl>
      <w:tblPr>
        <w:tblW w:w="9240" w:type="dxa"/>
        <w:jc w:val="left"/>
        <w:tblInd w:w="8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90"/>
        <w:gridCol w:w="3750"/>
      </w:tblGrid>
      <w:tr>
        <w:trPr/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eastAsia="Calibri" w:ascii="Verdana" w:hAnsi="Verdana"/>
                <w:b/>
                <w:kern w:val="0"/>
                <w:sz w:val="20"/>
                <w:lang w:val="pt-BR" w:eastAsia="en-US" w:bidi="ar-SA"/>
              </w:rPr>
              <w:t>ESPECIFICAÇÕES DAS DESPESAS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eastAsia="Calibri" w:ascii="Verdana" w:hAnsi="Verdana"/>
                <w:b/>
                <w:kern w:val="0"/>
                <w:sz w:val="20"/>
                <w:lang w:val="pt-BR" w:eastAsia="en-US" w:bidi="ar-SA"/>
              </w:rPr>
              <w:t>SERVIÇOS DE INSPEÇÃO TÉCNICA DE SEGURANÇA VEICULAR, PARA RENOVAÇÃO DOS TERMOS DE AUTORIZAÇÃO ESCOLAR</w:t>
            </w:r>
          </w:p>
        </w:tc>
      </w:tr>
      <w:tr>
        <w:trPr/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Verdana" w:hAnsi="Verdana"/>
                <w:sz w:val="20"/>
              </w:rPr>
            </w:pPr>
            <w:r>
              <w:rPr>
                <w:rFonts w:eastAsia="Calibri" w:ascii="Verdana" w:hAnsi="Verdana"/>
                <w:kern w:val="0"/>
                <w:sz w:val="20"/>
                <w:lang w:val="pt-BR" w:eastAsia="en-US" w:bidi="ar-SA"/>
              </w:rPr>
              <w:t>Valor R$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kern w:val="0"/>
                <w:sz w:val="20"/>
                <w:lang w:val="pt-BR" w:bidi="ar-SA"/>
              </w:rPr>
            </w:r>
          </w:p>
        </w:tc>
      </w:tr>
      <w:tr>
        <w:trPr/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Verdana" w:hAnsi="Verdana"/>
                <w:sz w:val="20"/>
              </w:rPr>
            </w:pPr>
            <w:r>
              <w:rPr>
                <w:rFonts w:eastAsia="Calibri" w:ascii="Verdana" w:hAnsi="Verdana"/>
                <w:kern w:val="0"/>
                <w:sz w:val="20"/>
                <w:lang w:val="pt-BR" w:eastAsia="en-US" w:bidi="ar-SA"/>
              </w:rPr>
              <w:t>Custo Fixo (água, energia, depreciação, taxas etc…)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kern w:val="0"/>
                <w:sz w:val="20"/>
                <w:lang w:val="pt-BR" w:bidi="ar-SA"/>
              </w:rPr>
            </w:r>
          </w:p>
        </w:tc>
      </w:tr>
      <w:tr>
        <w:trPr/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Verdana" w:hAnsi="Verdana"/>
                <w:sz w:val="20"/>
              </w:rPr>
            </w:pPr>
            <w:r>
              <w:rPr>
                <w:rFonts w:eastAsia="Calibri" w:ascii="Verdana" w:hAnsi="Verdana"/>
                <w:kern w:val="0"/>
                <w:sz w:val="20"/>
                <w:lang w:val="pt-BR" w:eastAsia="en-US" w:bidi="ar-SA"/>
              </w:rPr>
              <w:t>Custo Variável (frete, matéria-prima)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kern w:val="0"/>
                <w:sz w:val="20"/>
                <w:lang w:val="pt-BR" w:bidi="ar-SA"/>
              </w:rPr>
            </w:r>
          </w:p>
        </w:tc>
      </w:tr>
      <w:tr>
        <w:trPr/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Verdana" w:hAnsi="Verdana"/>
                <w:sz w:val="20"/>
              </w:rPr>
            </w:pPr>
            <w:r>
              <w:rPr>
                <w:rFonts w:eastAsia="Calibri" w:ascii="Verdana" w:hAnsi="Verdana"/>
                <w:kern w:val="0"/>
                <w:sz w:val="20"/>
                <w:lang w:val="pt-BR" w:eastAsia="en-US" w:bidi="ar-SA"/>
              </w:rPr>
              <w:t>Despesas Trabalhistas (salários-encargos)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kern w:val="0"/>
                <w:sz w:val="20"/>
                <w:lang w:val="pt-BR" w:bidi="ar-SA"/>
              </w:rPr>
            </w:r>
          </w:p>
        </w:tc>
      </w:tr>
      <w:tr>
        <w:trPr/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Verdana" w:hAnsi="Verdana"/>
                <w:sz w:val="20"/>
              </w:rPr>
            </w:pPr>
            <w:r>
              <w:rPr>
                <w:rFonts w:eastAsia="Calibri" w:ascii="Verdana" w:hAnsi="Verdana"/>
                <w:kern w:val="0"/>
                <w:sz w:val="20"/>
                <w:lang w:val="pt-BR" w:eastAsia="en-US" w:bidi="ar-SA"/>
              </w:rPr>
              <w:t>Impostos (simples – ISS)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kern w:val="0"/>
                <w:sz w:val="20"/>
                <w:lang w:val="pt-BR" w:bidi="ar-SA"/>
              </w:rPr>
            </w:r>
          </w:p>
        </w:tc>
      </w:tr>
      <w:tr>
        <w:trPr/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Verdana" w:hAnsi="Verdana"/>
                <w:sz w:val="20"/>
              </w:rPr>
            </w:pPr>
            <w:r>
              <w:rPr>
                <w:rFonts w:eastAsia="Calibri" w:ascii="Verdana" w:hAnsi="Verdana"/>
                <w:kern w:val="0"/>
                <w:sz w:val="20"/>
                <w:lang w:val="pt-BR" w:eastAsia="en-US" w:bidi="ar-SA"/>
              </w:rPr>
              <w:t>Margem de Lucros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kern w:val="0"/>
                <w:sz w:val="20"/>
                <w:lang w:val="pt-BR" w:bidi="ar-SA"/>
              </w:rPr>
            </w:r>
          </w:p>
        </w:tc>
      </w:tr>
    </w:tbl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/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</w:r>
    </w:p>
    <w:p>
      <w:pPr>
        <w:pStyle w:val="Normal"/>
        <w:spacing w:lineRule="auto" w:line="276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p>
      <w:pPr>
        <w:pStyle w:val="Normal"/>
        <w:spacing w:lineRule="auto" w:line="276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p>
      <w:pPr>
        <w:pStyle w:val="Normal"/>
        <w:spacing w:lineRule="auto" w:line="276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p>
      <w:pPr>
        <w:pStyle w:val="Normal"/>
        <w:spacing w:lineRule="auto" w:line="276"/>
        <w:jc w:val="center"/>
        <w:rPr>
          <w:rFonts w:ascii="Verdana" w:hAnsi="Verdana"/>
          <w:b/>
          <w:sz w:val="20"/>
        </w:rPr>
      </w:pPr>
      <w:r>
        <w:rPr/>
      </w:r>
    </w:p>
    <w:p>
      <w:pPr>
        <w:pStyle w:val="Normal"/>
        <w:spacing w:lineRule="auto" w:line="276"/>
        <w:jc w:val="center"/>
        <w:rPr>
          <w:rFonts w:ascii="Verdana" w:hAnsi="Verdana"/>
          <w:b/>
          <w:sz w:val="20"/>
        </w:rPr>
      </w:pPr>
      <w:r>
        <w:rPr/>
      </w:r>
    </w:p>
    <w:p>
      <w:pPr>
        <w:pStyle w:val="Normal"/>
        <w:spacing w:lineRule="auto" w:line="276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PLANILHA DE CUSTO</w:t>
      </w:r>
    </w:p>
    <w:p>
      <w:pPr>
        <w:pStyle w:val="Normal"/>
        <w:spacing w:lineRule="auto" w:line="276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p>
      <w:pPr>
        <w:pStyle w:val="Normal"/>
        <w:spacing w:lineRule="auto" w:line="276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LEVANTAMENTO DE CUSTOS PARA PRESTAÇÃO DE SERVIÇOS DE VISTORIA MECÂNICA COM EMISSÃO DE LAUDO A CETURB/ES</w:t>
      </w:r>
    </w:p>
    <w:p>
      <w:pPr>
        <w:pStyle w:val="Normal"/>
        <w:spacing w:lineRule="auto" w:line="276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tbl>
      <w:tblPr>
        <w:tblW w:w="8985" w:type="dxa"/>
        <w:jc w:val="left"/>
        <w:tblInd w:w="18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0"/>
        <w:gridCol w:w="3375"/>
      </w:tblGrid>
      <w:tr>
        <w:trPr/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eastAsia="Calibri" w:ascii="Verdana" w:hAnsi="Verdana"/>
                <w:b/>
                <w:kern w:val="0"/>
                <w:sz w:val="20"/>
                <w:lang w:val="pt-BR" w:eastAsia="en-US" w:bidi="ar-SA"/>
              </w:rPr>
              <w:t>ESPECIFICAÇÕES DAS DESPESAS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eastAsia="Calibri" w:ascii="Verdana" w:hAnsi="Verdana"/>
                <w:b/>
                <w:kern w:val="0"/>
                <w:sz w:val="20"/>
                <w:lang w:val="pt-BR" w:eastAsia="en-US" w:bidi="ar-SA"/>
              </w:rPr>
              <w:t>SERVIÇOS DE VISTORIA MECÂNICA COM EMISSÃO DE LAUDO A CETURB/ES</w:t>
            </w:r>
          </w:p>
        </w:tc>
      </w:tr>
      <w:tr>
        <w:trPr/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Verdana" w:hAnsi="Verdana"/>
                <w:sz w:val="20"/>
              </w:rPr>
            </w:pPr>
            <w:r>
              <w:rPr>
                <w:rFonts w:eastAsia="Calibri" w:ascii="Verdana" w:hAnsi="Verdana"/>
                <w:kern w:val="0"/>
                <w:sz w:val="20"/>
                <w:lang w:val="pt-BR" w:eastAsia="en-US" w:bidi="ar-SA"/>
              </w:rPr>
              <w:t>Valor R$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kern w:val="0"/>
                <w:sz w:val="20"/>
                <w:lang w:val="pt-BR" w:bidi="ar-SA"/>
              </w:rPr>
            </w:r>
          </w:p>
        </w:tc>
      </w:tr>
      <w:tr>
        <w:trPr/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Verdana" w:hAnsi="Verdana"/>
                <w:sz w:val="20"/>
              </w:rPr>
            </w:pPr>
            <w:r>
              <w:rPr>
                <w:rFonts w:eastAsia="Calibri" w:ascii="Verdana" w:hAnsi="Verdana"/>
                <w:kern w:val="0"/>
                <w:sz w:val="20"/>
                <w:lang w:val="pt-BR" w:eastAsia="en-US" w:bidi="ar-SA"/>
              </w:rPr>
              <w:t>Custo Fixo (água, energia, depreciação, taxas etc…)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kern w:val="0"/>
                <w:sz w:val="20"/>
                <w:lang w:val="pt-BR" w:bidi="ar-SA"/>
              </w:rPr>
            </w:r>
          </w:p>
        </w:tc>
      </w:tr>
      <w:tr>
        <w:trPr/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Verdana" w:hAnsi="Verdana"/>
                <w:sz w:val="20"/>
              </w:rPr>
            </w:pPr>
            <w:r>
              <w:rPr>
                <w:rFonts w:eastAsia="Calibri" w:ascii="Verdana" w:hAnsi="Verdana"/>
                <w:kern w:val="0"/>
                <w:sz w:val="20"/>
                <w:lang w:val="pt-BR" w:eastAsia="en-US" w:bidi="ar-SA"/>
              </w:rPr>
              <w:t>Custo Variável (frete, matéria-prima)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kern w:val="0"/>
                <w:sz w:val="20"/>
                <w:lang w:val="pt-BR" w:bidi="ar-SA"/>
              </w:rPr>
            </w:r>
          </w:p>
        </w:tc>
      </w:tr>
      <w:tr>
        <w:trPr/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Verdana" w:hAnsi="Verdana"/>
                <w:sz w:val="20"/>
              </w:rPr>
            </w:pPr>
            <w:r>
              <w:rPr>
                <w:rFonts w:eastAsia="Calibri" w:ascii="Verdana" w:hAnsi="Verdana"/>
                <w:kern w:val="0"/>
                <w:sz w:val="20"/>
                <w:lang w:val="pt-BR" w:eastAsia="en-US" w:bidi="ar-SA"/>
              </w:rPr>
              <w:t>Despesas Trabalhistas (salários-encargos)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kern w:val="0"/>
                <w:sz w:val="20"/>
                <w:lang w:val="pt-BR" w:bidi="ar-SA"/>
              </w:rPr>
            </w:r>
          </w:p>
        </w:tc>
      </w:tr>
      <w:tr>
        <w:trPr/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Verdana" w:hAnsi="Verdana"/>
                <w:sz w:val="20"/>
              </w:rPr>
            </w:pPr>
            <w:r>
              <w:rPr>
                <w:rFonts w:eastAsia="Calibri" w:ascii="Verdana" w:hAnsi="Verdana"/>
                <w:kern w:val="0"/>
                <w:sz w:val="20"/>
                <w:lang w:val="pt-BR" w:eastAsia="en-US" w:bidi="ar-SA"/>
              </w:rPr>
              <w:t>Impostos (simples – ISS)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kern w:val="0"/>
                <w:sz w:val="20"/>
                <w:lang w:val="pt-BR" w:bidi="ar-SA"/>
              </w:rPr>
            </w:r>
          </w:p>
        </w:tc>
      </w:tr>
      <w:tr>
        <w:trPr/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Verdana" w:hAnsi="Verdana"/>
                <w:sz w:val="20"/>
              </w:rPr>
            </w:pPr>
            <w:r>
              <w:rPr>
                <w:rFonts w:eastAsia="Calibri" w:ascii="Verdana" w:hAnsi="Verdana"/>
                <w:kern w:val="0"/>
                <w:sz w:val="20"/>
                <w:lang w:val="pt-BR" w:eastAsia="en-US" w:bidi="ar-SA"/>
              </w:rPr>
              <w:t>Margem de Lucros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kern w:val="0"/>
                <w:sz w:val="20"/>
                <w:lang w:val="pt-BR" w:bidi="ar-SA"/>
              </w:rPr>
            </w:r>
          </w:p>
        </w:tc>
      </w:tr>
    </w:tbl>
    <w:p>
      <w:pPr>
        <w:pStyle w:val="Normal"/>
        <w:spacing w:lineRule="auto" w:line="276"/>
        <w:jc w:val="both"/>
        <w:rPr>
          <w:rFonts w:ascii="Verdana" w:hAnsi="Verdana"/>
          <w:sz w:val="20"/>
        </w:rPr>
      </w:pPr>
      <w:r>
        <w:rPr/>
      </w:r>
    </w:p>
    <w:sectPr>
      <w:type w:val="continuous"/>
      <w:pgSz w:w="11906" w:h="16838"/>
      <w:pgMar w:left="1550" w:right="905" w:gutter="0" w:header="227" w:top="851" w:footer="567" w:bottom="851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  <w:font w:name="Tahom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 xml:space="preserve">Praça Vicente Glazar, 159 | São Gabriel da Palha-ES | CEP 29780 000  </w:t>
    </w:r>
  </w:p>
  <w:p>
    <w:pPr>
      <w:pStyle w:val="Footer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3727-1366 | E-mail: compras@saogabriel.es.gov.br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  <w:drawing>
        <wp:anchor behindDoc="1" distT="0" distB="0" distL="114300" distR="114300" simplePos="0" locked="0" layoutInCell="0" allowOverlap="1" relativeHeight="11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  <w:br/>
    </w:r>
    <w:r>
      <w:rPr>
        <w:rFonts w:ascii="Arial Narrow" w:hAnsi="Arial Narrow"/>
        <w:b/>
        <w:sz w:val="20"/>
      </w:rPr>
      <w:t>Departamento De Compras e Contratos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kinsoku w:val="true"/>
      <w:overflowPunct w:val="true"/>
      <w:autoSpaceDE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eastAsia="pt-BR" w:val="pt-BR" w:bidi="ar-SA"/>
    </w:rPr>
  </w:style>
  <w:style w:type="paragraph" w:styleId="Heading1">
    <w:name w:val="Heading 1"/>
    <w:basedOn w:val="Normal"/>
    <w:next w:val="Normal"/>
    <w:link w:val="Ttulo1Char"/>
    <w:qFormat/>
    <w:pPr>
      <w:keepNext w:val="true"/>
      <w:keepLines/>
      <w:numPr>
        <w:ilvl w:val="0"/>
        <w:numId w:val="0"/>
      </w:numPr>
      <w:spacing w:before="480" w:after="0"/>
      <w:outlineLvl w:val="0"/>
    </w:pPr>
    <w:rPr>
      <w:rFonts w:ascii="Cambria" w:hAnsi="Cambria" w:eastAsia="Calibri" w:cs="Tahoma"/>
      <w:b/>
      <w:bCs/>
      <w:color w:themeColor="accent1" w:themeShade="bf" w:val="365F91"/>
      <w:sz w:val="28"/>
      <w:szCs w:val="28"/>
    </w:rPr>
  </w:style>
  <w:style w:type="character" w:styleId="DefaultParagraphFont">
    <w:name w:val="Default Paragraph Font"/>
    <w:qFormat/>
    <w:rPr/>
  </w:style>
  <w:style w:type="character" w:styleId="PageNumber">
    <w:name w:val="Page Number"/>
    <w:basedOn w:val="DefaultParagraphFont"/>
    <w:rPr/>
  </w:style>
  <w:style w:type="character" w:styleId="CabealhoChar">
    <w:name w:val="Cabeçalho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RodapChar">
    <w:name w:val="Rodapé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A6">
    <w:name w:val="A6"/>
    <w:qFormat/>
    <w:rPr>
      <w:color w:val="000000"/>
      <w:sz w:val="18"/>
      <w:u w:val="single"/>
    </w:rPr>
  </w:style>
  <w:style w:type="character" w:styleId="Hyperlink1">
    <w:name w:val="Hyperlink1"/>
    <w:qFormat/>
    <w:rPr>
      <w:color w:val="000080"/>
      <w:u w:val="single"/>
    </w:rPr>
  </w:style>
  <w:style w:type="character" w:styleId="CorpodetextoChar">
    <w:name w:val="Corpo de texto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CitaoChar">
    <w:name w:val="Citação Char"/>
    <w:basedOn w:val="DefaultParagraphFont"/>
    <w:link w:val="Quote"/>
    <w:qFormat/>
    <w:rPr>
      <w:rFonts w:ascii="Arial" w:hAnsi="Arial" w:eastAsia="Calibri" w:cs="Tahoma"/>
      <w:i/>
      <w:iCs/>
      <w:color w:val="000000"/>
      <w:sz w:val="20"/>
      <w:szCs w:val="24"/>
      <w:shd w:fill="FFFFCC" w:val="clear"/>
    </w:rPr>
  </w:style>
  <w:style w:type="character" w:styleId="Nivel1Char">
    <w:name w:val="Nivel1 Char"/>
    <w:basedOn w:val="DefaultParagraphFont"/>
    <w:link w:val="Nivel1"/>
    <w:qFormat/>
    <w:rPr>
      <w:rFonts w:ascii="Arial" w:hAnsi="Arial" w:eastAsia="Calibri" w:cs="Arial"/>
      <w:b/>
      <w:color w:val="000000"/>
      <w:sz w:val="32"/>
      <w:szCs w:val="32"/>
    </w:rPr>
  </w:style>
  <w:style w:type="character" w:styleId="Nivel2Char">
    <w:name w:val="Nivel 2 Char"/>
    <w:basedOn w:val="DefaultParagraphFont"/>
    <w:link w:val="Nivel2"/>
    <w:qFormat/>
    <w:rPr>
      <w:rFonts w:ascii="Arial" w:hAnsi="Arial" w:cs="Arial"/>
      <w:color w:val="000000"/>
    </w:rPr>
  </w:style>
  <w:style w:type="character" w:styleId="Strong">
    <w:name w:val="Strong"/>
    <w:basedOn w:val="DefaultParagraphFont"/>
    <w:qFormat/>
    <w:rPr>
      <w:b/>
      <w:bCs/>
    </w:rPr>
  </w:style>
  <w:style w:type="character" w:styleId="Ttulo1Char">
    <w:name w:val="Título 1 Char"/>
    <w:basedOn w:val="DefaultParagraphFont"/>
    <w:qFormat/>
    <w:rPr>
      <w:rFonts w:ascii="Cambria" w:hAnsi="Cambria" w:eastAsia="Calibri" w:cs="Tahoma"/>
      <w:b/>
      <w:bCs/>
      <w:color w:themeColor="accent1" w:themeShade="bf" w:val="365F91"/>
      <w:sz w:val="28"/>
      <w:szCs w:val="28"/>
      <w:lang w:eastAsia="pt-BR"/>
    </w:rPr>
  </w:style>
  <w:style w:type="character" w:styleId="InternetLink">
    <w:name w:val="Internet Link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CorpodetextoChar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Header">
    <w:name w:val="Header"/>
    <w:basedOn w:val="Normal"/>
    <w:link w:val="CabealhoChar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Footer">
    <w:name w:val="Footer"/>
    <w:basedOn w:val="Normal"/>
    <w:link w:val="RodapChar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ListParagraph">
    <w:name w:val="List Paragraph"/>
    <w:basedOn w:val="Normal"/>
    <w:qFormat/>
    <w:pPr>
      <w:spacing w:lineRule="auto" w:line="276" w:before="0" w:after="200"/>
      <w:ind w:left="720"/>
      <w:contextualSpacing/>
    </w:pPr>
    <w:rPr>
      <w:rFonts w:ascii="Calibri" w:hAnsi="Calibri" w:eastAsia="Calibri" w:cs="Calibri"/>
      <w:sz w:val="22"/>
      <w:szCs w:val="22"/>
    </w:rPr>
  </w:style>
  <w:style w:type="paragraph" w:styleId="Tabelanormal1">
    <w:name w:val="Tabela normal1"/>
    <w:qFormat/>
    <w:pPr>
      <w:widowControl/>
      <w:suppressAutoHyphens w:val="true"/>
      <w:kinsoku w:val="true"/>
      <w:overflowPunct w:val="true"/>
      <w:autoSpaceDE w:val="true"/>
      <w:bidi w:val="0"/>
      <w:spacing w:lineRule="auto" w:line="276" w:before="0" w:after="200"/>
      <w:jc w:val="left"/>
    </w:pPr>
    <w:rPr>
      <w:rFonts w:ascii="Times New Roman" w:hAnsi="Times New Roman" w:eastAsia="Tahoma" w:cs="Times New Roman"/>
      <w:color w:val="auto"/>
      <w:kern w:val="0"/>
      <w:sz w:val="20"/>
      <w:szCs w:val="20"/>
      <w:lang w:eastAsia="pt-BR" w:val="pt-BR" w:bidi="ar-SA"/>
    </w:rPr>
  </w:style>
  <w:style w:type="paragraph" w:styleId="Quote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fill="FFFFCC" w:val="clear"/>
      <w:suppressAutoHyphens w:val="false"/>
      <w:spacing w:before="120" w:after="0"/>
      <w:jc w:val="both"/>
    </w:pPr>
    <w:rPr>
      <w:rFonts w:ascii="Arial" w:hAnsi="Arial" w:eastAsia="Calibri" w:cs="Tahoma"/>
      <w:i/>
      <w:iCs/>
      <w:color w:val="000000"/>
      <w:sz w:val="20"/>
      <w:szCs w:val="24"/>
      <w:lang w:eastAsia="en-US"/>
    </w:rPr>
  </w:style>
  <w:style w:type="paragraph" w:styleId="Nivel1">
    <w:name w:val="Nivel1"/>
    <w:basedOn w:val="Heading1"/>
    <w:next w:val="Normal"/>
    <w:link w:val="Nivel1Char"/>
    <w:qFormat/>
    <w:pPr>
      <w:suppressAutoHyphens w:val="false"/>
      <w:spacing w:lineRule="auto" w:line="276" w:before="480" w:after="120"/>
      <w:jc w:val="both"/>
      <w:outlineLvl w:val="9"/>
    </w:pPr>
    <w:rPr>
      <w:rFonts w:ascii="Arial" w:hAnsi="Arial" w:cs="Arial"/>
      <w:bCs w:val="false"/>
      <w:sz w:val="32"/>
      <w:szCs w:val="32"/>
      <w:lang w:eastAsia="en-US"/>
    </w:rPr>
  </w:style>
  <w:style w:type="paragraph" w:styleId="Standard">
    <w:name w:val="Standard"/>
    <w:qFormat/>
    <w:pPr>
      <w:widowControl/>
      <w:suppressAutoHyphens w:val="true"/>
      <w:kinsoku w:val="true"/>
      <w:overflowPunct w:val="true"/>
      <w:autoSpaceDE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eastAsia="zh-CN" w:bidi="hi-IN" w:val="pt-BR"/>
    </w:rPr>
  </w:style>
  <w:style w:type="paragraph" w:styleId="citao2">
    <w:name w:val="citação 2"/>
    <w:basedOn w:val="Quote"/>
    <w:qFormat/>
    <w:pPr>
      <w:suppressAutoHyphens w:val="true"/>
    </w:pPr>
    <w:rPr>
      <w:kern w:val="2"/>
      <w:szCs w:val="20"/>
      <w:lang w:eastAsia="zh-CN" w:bidi="hi-IN"/>
    </w:rPr>
  </w:style>
  <w:style w:type="paragraph" w:styleId="Nivel2">
    <w:name w:val="Nivel 2"/>
    <w:basedOn w:val="Normal"/>
    <w:link w:val="Nivel2Char"/>
    <w:qFormat/>
    <w:pPr>
      <w:suppressAutoHyphens w:val="false"/>
      <w:spacing w:lineRule="auto" w:line="276" w:before="120" w:after="120"/>
      <w:jc w:val="both"/>
    </w:pPr>
    <w:rPr>
      <w:rFonts w:ascii="Arial" w:hAnsi="Arial" w:eastAsia="Calibri" w:cs="Arial"/>
      <w:color w:val="000000"/>
      <w:sz w:val="22"/>
      <w:szCs w:val="22"/>
      <w:lang w:eastAsia="en-US"/>
    </w:rPr>
  </w:style>
  <w:style w:type="paragraph" w:styleId="Nivel3">
    <w:name w:val="Nivel 3"/>
    <w:basedOn w:val="ListParagraph"/>
    <w:qFormat/>
    <w:pPr>
      <w:tabs>
        <w:tab w:val="clear" w:pos="708"/>
        <w:tab w:val="left" w:pos="360" w:leader="none"/>
      </w:tabs>
      <w:suppressAutoHyphens w:val="false"/>
      <w:spacing w:before="120" w:after="120"/>
      <w:ind w:left="425"/>
      <w:contextualSpacing/>
      <w:jc w:val="both"/>
    </w:pPr>
    <w:rPr>
      <w:rFonts w:ascii="Arial" w:hAnsi="Arial" w:cs="Arial"/>
      <w:sz w:val="20"/>
    </w:rPr>
  </w:style>
  <w:style w:type="paragraph" w:styleId="Default">
    <w:name w:val="Default"/>
    <w:qFormat/>
    <w:pPr>
      <w:widowControl/>
      <w:suppressAutoHyphens w:val="true"/>
      <w:kinsoku w:val="true"/>
      <w:overflowPunct w:val="true"/>
      <w:autoSpaceDE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eastAsia="zh-CN" w:val="pt-BR" w:bidi="ar-SA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numbering" w:styleId="Semlista">
    <w:name w:val="Sem lista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transportesemedsgp@gmail.com" TargetMode="External"/><Relationship Id="rId3" Type="http://schemas.openxmlformats.org/officeDocument/2006/relationships/hyperlink" Target="https://www.planalto.gov.br/ccivil_03/leis/lcp/lcp123.htm" TargetMode="Externa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Application>LibreOffice/24.2.6.2$Windows_X86_64 LibreOffice_project/ef66aa7e36a1bb8e65bfbc63aba53045a14d0871</Application>
  <AppVersion>15.0000</AppVersion>
  <Pages>14</Pages>
  <Words>3296</Words>
  <Characters>18676</Characters>
  <CharactersWithSpaces>21841</CharactersWithSpaces>
  <Paragraphs>192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2024-08-30T10:56:00Z</dcterms:created>
  <dc:creator>Ruth Barbara da Silwa Nascimento</dc:creator>
  <dc:description/>
  <dc:language>pt-BR</dc:language>
  <cp:lastModifiedBy/>
  <cp:lastPrinted>2024-09-23T14:35:00Z</cp:lastPrinted>
  <dcterms:modified xsi:type="dcterms:W3CDTF">2025-01-07T16:11:00Z</dcterms:modified>
  <cp:revision>122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